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0B4720"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4.6pt;margin-top:-11.05pt;width:142.1pt;height:86.7pt;z-index:251659264;mso-position-horizontal-relative:text;mso-position-vertical-relative:text">
            <v:imagedata r:id="rId9" o:title="2"/>
          </v:shape>
        </w:pict>
      </w:r>
      <w:r w:rsidR="00ED70F7">
        <w:rPr>
          <w:rFonts w:ascii="Times New Roman" w:hAnsi="Times New Roman" w:cs="Times New Roman"/>
          <w:b/>
          <w:bCs/>
          <w:spacing w:val="-1"/>
          <w:w w:val="95"/>
          <w:sz w:val="24"/>
          <w:szCs w:val="24"/>
        </w:rPr>
        <w:t xml:space="preserve">                                                                                                                                 У</w:t>
      </w:r>
      <w:r w:rsidR="00ED70F7" w:rsidRPr="004117F5">
        <w:rPr>
          <w:rFonts w:ascii="Times New Roman" w:hAnsi="Times New Roman" w:cs="Times New Roman"/>
          <w:b/>
          <w:bCs/>
          <w:spacing w:val="-1"/>
          <w:w w:val="95"/>
          <w:sz w:val="24"/>
          <w:szCs w:val="24"/>
        </w:rPr>
        <w:t>ТВЕРЖДАЮ:</w:t>
      </w:r>
    </w:p>
    <w:p w:rsidR="00ED70F7" w:rsidRPr="004117F5"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«30</w:t>
      </w:r>
      <w:r w:rsidRPr="004117F5">
        <w:rPr>
          <w:rFonts w:ascii="Times New Roman" w:hAnsi="Times New Roman" w:cs="Times New Roman"/>
          <w:spacing w:val="-1"/>
          <w:sz w:val="24"/>
          <w:szCs w:val="24"/>
        </w:rPr>
        <w:t>»</w:t>
      </w:r>
      <w:r w:rsidRPr="004117F5">
        <w:rPr>
          <w:rFonts w:ascii="Times New Roman" w:hAnsi="Times New Roman" w:cs="Times New Roman"/>
          <w:spacing w:val="-5"/>
          <w:sz w:val="24"/>
          <w:szCs w:val="24"/>
        </w:rPr>
        <w:t xml:space="preserve"> </w:t>
      </w:r>
      <w:r>
        <w:rPr>
          <w:rFonts w:ascii="Times New Roman" w:hAnsi="Times New Roman" w:cs="Times New Roman"/>
          <w:sz w:val="24"/>
          <w:szCs w:val="24"/>
        </w:rPr>
        <w:t>июля 2024</w:t>
      </w:r>
      <w:r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ED70F7"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2024</w:t>
      </w:r>
      <w:r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10"/>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ru</w:t>
            </w:r>
            <w:proofErr w:type="spellEnd"/>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694E65">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694E65">
              <w:rPr>
                <w:rFonts w:ascii="Times New Roman" w:eastAsia="Times New Roman" w:hAnsi="Times New Roman" w:cs="Times New Roman"/>
                <w:lang w:eastAsia="ru-RU"/>
              </w:rPr>
              <w:t>30</w:t>
            </w:r>
            <w:r w:rsidR="00D1603C">
              <w:rPr>
                <w:rFonts w:ascii="Times New Roman" w:eastAsia="Times New Roman" w:hAnsi="Times New Roman" w:cs="Times New Roman"/>
                <w:lang w:eastAsia="ru-RU"/>
              </w:rPr>
              <w:t xml:space="preserve">» </w:t>
            </w:r>
            <w:r w:rsidR="00694E65">
              <w:rPr>
                <w:rFonts w:ascii="Times New Roman" w:eastAsia="Times New Roman" w:hAnsi="Times New Roman" w:cs="Times New Roman"/>
                <w:lang w:eastAsia="ru-RU"/>
              </w:rPr>
              <w:t>июля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w:t>
            </w:r>
            <w:r w:rsidR="00694E65" w:rsidRPr="00694E65">
              <w:rPr>
                <w:rFonts w:ascii="Times New Roman" w:eastAsia="Times New Roman" w:hAnsi="Times New Roman" w:cs="Times New Roman"/>
                <w:lang w:eastAsia="ru-RU"/>
              </w:rPr>
              <w:t xml:space="preserve">09» августа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proofErr w:type="gramEnd"/>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proofErr w:type="gramStart"/>
            <w:r w:rsidRPr="0010432B">
              <w:rPr>
                <w:rFonts w:ascii="Times New Roman" w:eastAsia="Times New Roman" w:hAnsi="Times New Roman" w:cs="Times New Roman"/>
                <w:lang w:eastAsia="ru-RU"/>
              </w:rPr>
              <w:t>«</w:t>
            </w:r>
            <w:r w:rsidR="00694E65">
              <w:rPr>
                <w:rFonts w:ascii="Times New Roman" w:eastAsia="Times New Roman" w:hAnsi="Times New Roman" w:cs="Times New Roman"/>
                <w:lang w:eastAsia="ru-RU"/>
              </w:rPr>
              <w:t>12</w:t>
            </w:r>
            <w:r w:rsidR="00AB2471">
              <w:rPr>
                <w:rFonts w:ascii="Times New Roman" w:eastAsia="Times New Roman" w:hAnsi="Times New Roman" w:cs="Times New Roman"/>
                <w:lang w:eastAsia="ru-RU"/>
              </w:rPr>
              <w:t xml:space="preserve">» </w:t>
            </w:r>
            <w:r w:rsidR="00694E65" w:rsidRPr="00694E65">
              <w:rPr>
                <w:rFonts w:ascii="Times New Roman" w:eastAsia="Times New Roman" w:hAnsi="Times New Roman" w:cs="Times New Roman"/>
                <w:lang w:eastAsia="ru-RU"/>
              </w:rPr>
              <w:t xml:space="preserve">августа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w:t>
            </w:r>
            <w:proofErr w:type="gramEnd"/>
            <w:r w:rsidR="003752DE" w:rsidRPr="0010432B">
              <w:rPr>
                <w:rFonts w:ascii="Times New Roman" w:eastAsia="Times New Roman" w:hAnsi="Times New Roman" w:cs="Times New Roman"/>
                <w:lang w:eastAsia="ru-RU"/>
              </w:rPr>
              <w:t xml:space="preserve">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proofErr w:type="spellStart"/>
            <w:r w:rsidRPr="0010432B">
              <w:rPr>
                <w:rFonts w:ascii="Times New Roman" w:hAnsi="Times New Roman"/>
                <w:lang w:val="en-US" w:eastAsia="ru-RU"/>
              </w:rPr>
              <w:t>ru</w:t>
            </w:r>
            <w:proofErr w:type="spellEnd"/>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proofErr w:type="spellStart"/>
            <w:r w:rsidRPr="0010432B">
              <w:rPr>
                <w:rFonts w:ascii="Times New Roman" w:hAnsi="Times New Roman"/>
                <w:lang w:val="en-US" w:eastAsia="ru-RU"/>
              </w:rPr>
              <w:t>ru</w:t>
            </w:r>
            <w:proofErr w:type="spellEnd"/>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proofErr w:type="spellStart"/>
            <w:r w:rsidR="007C073C" w:rsidRPr="0010432B">
              <w:rPr>
                <w:rFonts w:ascii="Times New Roman" w:eastAsia="Times New Roman" w:hAnsi="Times New Roman" w:cs="Times New Roman"/>
                <w:lang w:val="en-US" w:eastAsia="ru-RU"/>
              </w:rPr>
              <w:t>ru</w:t>
            </w:r>
            <w:proofErr w:type="spellEnd"/>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1"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3"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Pr="0010432B"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lastRenderedPageBreak/>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694E65">
        <w:rPr>
          <w:rFonts w:ascii="Times New Roman" w:eastAsia="Times New Roman" w:hAnsi="Times New Roman" w:cs="Times New Roman"/>
          <w:lang w:eastAsia="ru-RU"/>
        </w:rPr>
        <w:t>30</w:t>
      </w:r>
      <w:r>
        <w:rPr>
          <w:rFonts w:ascii="Times New Roman" w:eastAsia="Times New Roman" w:hAnsi="Times New Roman" w:cs="Times New Roman"/>
          <w:lang w:eastAsia="ru-RU"/>
        </w:rPr>
        <w:t xml:space="preserve">» </w:t>
      </w:r>
      <w:r w:rsidR="00694E65">
        <w:rPr>
          <w:rFonts w:ascii="Times New Roman" w:eastAsia="Times New Roman" w:hAnsi="Times New Roman" w:cs="Times New Roman"/>
          <w:lang w:eastAsia="ru-RU"/>
        </w:rPr>
        <w:t>июля</w:t>
      </w:r>
      <w:r>
        <w:rPr>
          <w:rFonts w:ascii="Times New Roman" w:eastAsia="Times New Roman" w:hAnsi="Times New Roman" w:cs="Times New Roman"/>
          <w:lang w:eastAsia="ru-RU"/>
        </w:rPr>
        <w:t xml:space="preserve"> 2024</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694E65">
        <w:rPr>
          <w:rFonts w:ascii="Times New Roman" w:eastAsia="Times New Roman" w:hAnsi="Times New Roman" w:cs="Times New Roman"/>
          <w:lang w:eastAsia="ru-RU"/>
        </w:rPr>
        <w:t>09</w:t>
      </w:r>
      <w:r w:rsidR="003A34E7">
        <w:rPr>
          <w:rFonts w:ascii="Times New Roman" w:eastAsia="Times New Roman" w:hAnsi="Times New Roman" w:cs="Times New Roman"/>
          <w:lang w:eastAsia="ru-RU"/>
        </w:rPr>
        <w:t xml:space="preserve">» </w:t>
      </w:r>
      <w:r w:rsidR="00694E65" w:rsidRPr="00694E65">
        <w:rPr>
          <w:rFonts w:ascii="Times New Roman" w:eastAsia="Times New Roman" w:hAnsi="Times New Roman" w:cs="Times New Roman"/>
          <w:lang w:eastAsia="ru-RU"/>
        </w:rPr>
        <w:t xml:space="preserve">августа </w:t>
      </w:r>
      <w:r>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694E65">
        <w:rPr>
          <w:rFonts w:ascii="Times New Roman" w:eastAsia="Times New Roman" w:hAnsi="Times New Roman" w:cs="Times New Roman"/>
          <w:lang w:eastAsia="ru-RU"/>
        </w:rPr>
        <w:t>12</w:t>
      </w:r>
      <w:r w:rsidR="003A34E7">
        <w:rPr>
          <w:rFonts w:ascii="Times New Roman" w:eastAsia="Times New Roman" w:hAnsi="Times New Roman" w:cs="Times New Roman"/>
          <w:lang w:eastAsia="ru-RU"/>
        </w:rPr>
        <w:t xml:space="preserve">» </w:t>
      </w:r>
      <w:r w:rsidR="00694E65" w:rsidRPr="00694E65">
        <w:rPr>
          <w:rFonts w:ascii="Times New Roman" w:eastAsia="Times New Roman" w:hAnsi="Times New Roman" w:cs="Times New Roman"/>
          <w:lang w:eastAsia="ru-RU"/>
        </w:rPr>
        <w:t xml:space="preserve">августа </w:t>
      </w:r>
      <w:r w:rsidR="005654F5">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632" w:type="dxa"/>
        <w:tblInd w:w="-176" w:type="dxa"/>
        <w:tblLook w:val="04A0" w:firstRow="1" w:lastRow="0" w:firstColumn="1" w:lastColumn="0" w:noHBand="0" w:noVBand="1"/>
      </w:tblPr>
      <w:tblGrid>
        <w:gridCol w:w="10632"/>
      </w:tblGrid>
      <w:tr w:rsidR="00E21FA4" w:rsidRPr="0010432B" w:rsidTr="00AC67A4">
        <w:trPr>
          <w:trHeight w:val="630"/>
        </w:trPr>
        <w:tc>
          <w:tcPr>
            <w:tcW w:w="10632"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669" w:type="dxa"/>
        <w:tblInd w:w="-176" w:type="dxa"/>
        <w:tblLayout w:type="fixed"/>
        <w:tblLook w:val="04A0" w:firstRow="1" w:lastRow="0" w:firstColumn="1" w:lastColumn="0" w:noHBand="0" w:noVBand="1"/>
      </w:tblPr>
      <w:tblGrid>
        <w:gridCol w:w="567"/>
        <w:gridCol w:w="3828"/>
        <w:gridCol w:w="1276"/>
        <w:gridCol w:w="1559"/>
        <w:gridCol w:w="1418"/>
        <w:gridCol w:w="2021"/>
      </w:tblGrid>
      <w:tr w:rsidR="00CA12DF" w:rsidRPr="005654F5" w:rsidTr="00CA12DF">
        <w:trPr>
          <w:trHeight w:val="12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 </w:t>
            </w:r>
            <w:proofErr w:type="gramStart"/>
            <w:r w:rsidRPr="005654F5">
              <w:rPr>
                <w:rFonts w:ascii="Times New Roman" w:eastAsia="Times New Roman" w:hAnsi="Times New Roman" w:cs="Times New Roman"/>
                <w:lang w:eastAsia="ru-RU"/>
              </w:rPr>
              <w:t>п</w:t>
            </w:r>
            <w:proofErr w:type="gramEnd"/>
            <w:r w:rsidRPr="005654F5">
              <w:rPr>
                <w:rFonts w:ascii="Times New Roman" w:eastAsia="Times New Roman" w:hAnsi="Times New Roman" w:cs="Times New Roman"/>
                <w:lang w:eastAsia="ru-RU"/>
              </w:rPr>
              <w:t>/п</w:t>
            </w:r>
          </w:p>
        </w:tc>
        <w:tc>
          <w:tcPr>
            <w:tcW w:w="3828" w:type="dxa"/>
            <w:tcBorders>
              <w:top w:val="single" w:sz="4" w:space="0" w:color="auto"/>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Вид работ</w:t>
            </w:r>
          </w:p>
        </w:tc>
        <w:tc>
          <w:tcPr>
            <w:tcW w:w="1276" w:type="dxa"/>
            <w:tcBorders>
              <w:top w:val="single" w:sz="4" w:space="0" w:color="auto"/>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Единицы измерения</w:t>
            </w:r>
          </w:p>
        </w:tc>
        <w:tc>
          <w:tcPr>
            <w:tcW w:w="1559" w:type="dxa"/>
            <w:tcBorders>
              <w:top w:val="single" w:sz="4" w:space="0" w:color="auto"/>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Стоимость единицы измерения с НДС             (</w:t>
            </w:r>
            <w:proofErr w:type="spellStart"/>
            <w:r w:rsidRPr="005654F5">
              <w:rPr>
                <w:rFonts w:ascii="Times New Roman" w:eastAsia="Times New Roman" w:hAnsi="Times New Roman" w:cs="Times New Roman"/>
                <w:lang w:eastAsia="ru-RU"/>
              </w:rPr>
              <w:t>руб</w:t>
            </w:r>
            <w:proofErr w:type="spellEnd"/>
            <w:r w:rsidRPr="005654F5">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Стоимость единицы измерения для УСН                     (</w:t>
            </w:r>
            <w:proofErr w:type="spellStart"/>
            <w:r w:rsidRPr="005654F5">
              <w:rPr>
                <w:rFonts w:ascii="Times New Roman" w:eastAsia="Times New Roman" w:hAnsi="Times New Roman" w:cs="Times New Roman"/>
                <w:lang w:eastAsia="ru-RU"/>
              </w:rPr>
              <w:t>руб</w:t>
            </w:r>
            <w:proofErr w:type="spellEnd"/>
            <w:r w:rsidRPr="005654F5">
              <w:rPr>
                <w:rFonts w:ascii="Times New Roman" w:eastAsia="Times New Roman" w:hAnsi="Times New Roman" w:cs="Times New Roman"/>
                <w:lang w:eastAsia="ru-RU"/>
              </w:rPr>
              <w:t>)</w:t>
            </w:r>
          </w:p>
        </w:tc>
        <w:tc>
          <w:tcPr>
            <w:tcW w:w="2021" w:type="dxa"/>
            <w:tcBorders>
              <w:top w:val="single" w:sz="4" w:space="0" w:color="auto"/>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Примечания</w:t>
            </w:r>
          </w:p>
        </w:tc>
      </w:tr>
      <w:tr w:rsidR="00CA12DF" w:rsidRPr="005654F5" w:rsidTr="00CA12DF">
        <w:trPr>
          <w:trHeight w:val="1095"/>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Восстановление </w:t>
            </w:r>
            <w:proofErr w:type="spellStart"/>
            <w:proofErr w:type="gramStart"/>
            <w:r w:rsidRPr="005654F5">
              <w:rPr>
                <w:rFonts w:ascii="Times New Roman" w:eastAsia="Times New Roman" w:hAnsi="Times New Roman" w:cs="Times New Roman"/>
                <w:lang w:eastAsia="ru-RU"/>
              </w:rPr>
              <w:t>асфальто</w:t>
            </w:r>
            <w:proofErr w:type="spellEnd"/>
            <w:r w:rsidRPr="005654F5">
              <w:rPr>
                <w:rFonts w:ascii="Times New Roman" w:eastAsia="Times New Roman" w:hAnsi="Times New Roman" w:cs="Times New Roman"/>
                <w:lang w:eastAsia="ru-RU"/>
              </w:rPr>
              <w:t>-бетонного</w:t>
            </w:r>
            <w:proofErr w:type="gramEnd"/>
            <w:r w:rsidRPr="005654F5">
              <w:rPr>
                <w:rFonts w:ascii="Times New Roman" w:eastAsia="Times New Roman" w:hAnsi="Times New Roman" w:cs="Times New Roman"/>
                <w:lang w:eastAsia="ru-RU"/>
              </w:rPr>
              <w:t xml:space="preserve"> покрытия проезжей части с подготовкой оснований, с выборкой грунта</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32 167,27</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29 744,67</w:t>
            </w:r>
          </w:p>
        </w:tc>
        <w:tc>
          <w:tcPr>
            <w:tcW w:w="2021" w:type="dxa"/>
            <w:vMerge w:val="restart"/>
            <w:tcBorders>
              <w:top w:val="nil"/>
              <w:left w:val="single" w:sz="4" w:space="0" w:color="auto"/>
              <w:bottom w:val="single" w:sz="4" w:space="0" w:color="000000"/>
              <w:right w:val="single" w:sz="4" w:space="0" w:color="auto"/>
            </w:tcBorders>
            <w:shd w:val="clear" w:color="auto" w:fill="auto"/>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ЛСР 01.03.24 Восстановление </w:t>
            </w:r>
            <w:proofErr w:type="spellStart"/>
            <w:proofErr w:type="gramStart"/>
            <w:r w:rsidRPr="005654F5">
              <w:rPr>
                <w:rFonts w:ascii="Times New Roman" w:eastAsia="Times New Roman" w:hAnsi="Times New Roman" w:cs="Times New Roman"/>
                <w:lang w:eastAsia="ru-RU"/>
              </w:rPr>
              <w:t>асфальто</w:t>
            </w:r>
            <w:proofErr w:type="spellEnd"/>
            <w:r w:rsidRPr="005654F5">
              <w:rPr>
                <w:rFonts w:ascii="Times New Roman" w:eastAsia="Times New Roman" w:hAnsi="Times New Roman" w:cs="Times New Roman"/>
                <w:lang w:eastAsia="ru-RU"/>
              </w:rPr>
              <w:t>-бетонного</w:t>
            </w:r>
            <w:proofErr w:type="gramEnd"/>
            <w:r w:rsidRPr="005654F5">
              <w:rPr>
                <w:rFonts w:ascii="Times New Roman" w:eastAsia="Times New Roman" w:hAnsi="Times New Roman" w:cs="Times New Roman"/>
                <w:lang w:eastAsia="ru-RU"/>
              </w:rPr>
              <w:t xml:space="preserve"> покрытия проезжей части</w:t>
            </w:r>
          </w:p>
        </w:tc>
      </w:tr>
      <w:tr w:rsidR="00CA12DF" w:rsidRPr="005654F5" w:rsidTr="00CA12DF">
        <w:trPr>
          <w:trHeight w:val="1065"/>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Восстановление </w:t>
            </w:r>
            <w:proofErr w:type="spellStart"/>
            <w:proofErr w:type="gramStart"/>
            <w:r w:rsidRPr="005654F5">
              <w:rPr>
                <w:rFonts w:ascii="Times New Roman" w:eastAsia="Times New Roman" w:hAnsi="Times New Roman" w:cs="Times New Roman"/>
                <w:lang w:eastAsia="ru-RU"/>
              </w:rPr>
              <w:t>асфальто</w:t>
            </w:r>
            <w:proofErr w:type="spellEnd"/>
            <w:r w:rsidRPr="005654F5">
              <w:rPr>
                <w:rFonts w:ascii="Times New Roman" w:eastAsia="Times New Roman" w:hAnsi="Times New Roman" w:cs="Times New Roman"/>
                <w:lang w:eastAsia="ru-RU"/>
              </w:rPr>
              <w:t>-бетонного</w:t>
            </w:r>
            <w:proofErr w:type="gramEnd"/>
            <w:r w:rsidRPr="005654F5">
              <w:rPr>
                <w:rFonts w:ascii="Times New Roman" w:eastAsia="Times New Roman" w:hAnsi="Times New Roman" w:cs="Times New Roman"/>
                <w:lang w:eastAsia="ru-RU"/>
              </w:rPr>
              <w:t xml:space="preserve"> покрытия проезжей части по подготовленному основанию с добавлением нового материала</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25 530,94</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23 120,79</w:t>
            </w:r>
          </w:p>
        </w:tc>
        <w:tc>
          <w:tcPr>
            <w:tcW w:w="2021" w:type="dxa"/>
            <w:vMerge/>
            <w:tcBorders>
              <w:top w:val="nil"/>
              <w:left w:val="single" w:sz="4" w:space="0" w:color="auto"/>
              <w:bottom w:val="single" w:sz="4" w:space="0" w:color="000000"/>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108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3</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Восстановление </w:t>
            </w:r>
            <w:proofErr w:type="spellStart"/>
            <w:proofErr w:type="gramStart"/>
            <w:r w:rsidRPr="005654F5">
              <w:rPr>
                <w:rFonts w:ascii="Times New Roman" w:eastAsia="Times New Roman" w:hAnsi="Times New Roman" w:cs="Times New Roman"/>
                <w:lang w:eastAsia="ru-RU"/>
              </w:rPr>
              <w:t>асфальто</w:t>
            </w:r>
            <w:proofErr w:type="spellEnd"/>
            <w:r w:rsidRPr="005654F5">
              <w:rPr>
                <w:rFonts w:ascii="Times New Roman" w:eastAsia="Times New Roman" w:hAnsi="Times New Roman" w:cs="Times New Roman"/>
                <w:lang w:eastAsia="ru-RU"/>
              </w:rPr>
              <w:t>-бетонного</w:t>
            </w:r>
            <w:proofErr w:type="gramEnd"/>
            <w:r w:rsidRPr="005654F5">
              <w:rPr>
                <w:rFonts w:ascii="Times New Roman" w:eastAsia="Times New Roman" w:hAnsi="Times New Roman" w:cs="Times New Roman"/>
                <w:lang w:eastAsia="ru-RU"/>
              </w:rPr>
              <w:t xml:space="preserve"> покрытия проезжей части по подготовленному основанию без добавления нового материала</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24 978,70</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22 588,93</w:t>
            </w:r>
          </w:p>
        </w:tc>
        <w:tc>
          <w:tcPr>
            <w:tcW w:w="2021" w:type="dxa"/>
            <w:vMerge/>
            <w:tcBorders>
              <w:top w:val="nil"/>
              <w:left w:val="single" w:sz="4" w:space="0" w:color="auto"/>
              <w:bottom w:val="single" w:sz="4" w:space="0" w:color="000000"/>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4</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Восстановление </w:t>
            </w:r>
            <w:proofErr w:type="spellStart"/>
            <w:proofErr w:type="gramStart"/>
            <w:r w:rsidRPr="005654F5">
              <w:rPr>
                <w:rFonts w:ascii="Times New Roman" w:eastAsia="Times New Roman" w:hAnsi="Times New Roman" w:cs="Times New Roman"/>
                <w:lang w:eastAsia="ru-RU"/>
              </w:rPr>
              <w:t>асфальто</w:t>
            </w:r>
            <w:proofErr w:type="spellEnd"/>
            <w:r w:rsidRPr="005654F5">
              <w:rPr>
                <w:rFonts w:ascii="Times New Roman" w:eastAsia="Times New Roman" w:hAnsi="Times New Roman" w:cs="Times New Roman"/>
                <w:lang w:eastAsia="ru-RU"/>
              </w:rPr>
              <w:t>-бетонного</w:t>
            </w:r>
            <w:proofErr w:type="gramEnd"/>
            <w:r w:rsidRPr="005654F5">
              <w:rPr>
                <w:rFonts w:ascii="Times New Roman" w:eastAsia="Times New Roman" w:hAnsi="Times New Roman" w:cs="Times New Roman"/>
                <w:lang w:eastAsia="ru-RU"/>
              </w:rPr>
              <w:t xml:space="preserve"> покрытия тротуаров с подготовкой основания с выборкой грунта</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27 963,76</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25 006,95</w:t>
            </w:r>
          </w:p>
        </w:tc>
        <w:tc>
          <w:tcPr>
            <w:tcW w:w="2021" w:type="dxa"/>
            <w:vMerge w:val="restart"/>
            <w:tcBorders>
              <w:top w:val="nil"/>
              <w:left w:val="single" w:sz="4" w:space="0" w:color="auto"/>
              <w:bottom w:val="nil"/>
              <w:right w:val="single" w:sz="4" w:space="0" w:color="auto"/>
            </w:tcBorders>
            <w:shd w:val="clear" w:color="auto" w:fill="auto"/>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ЛСР 02.03.24 Восстановление  покрытия тротуаров</w:t>
            </w:r>
          </w:p>
        </w:tc>
      </w:tr>
      <w:tr w:rsidR="00CA12DF" w:rsidRPr="005654F5" w:rsidTr="00CA12DF">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5</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Восстановление </w:t>
            </w:r>
            <w:proofErr w:type="spellStart"/>
            <w:proofErr w:type="gramStart"/>
            <w:r w:rsidRPr="005654F5">
              <w:rPr>
                <w:rFonts w:ascii="Times New Roman" w:eastAsia="Times New Roman" w:hAnsi="Times New Roman" w:cs="Times New Roman"/>
                <w:lang w:eastAsia="ru-RU"/>
              </w:rPr>
              <w:t>асфальто</w:t>
            </w:r>
            <w:proofErr w:type="spellEnd"/>
            <w:r w:rsidRPr="005654F5">
              <w:rPr>
                <w:rFonts w:ascii="Times New Roman" w:eastAsia="Times New Roman" w:hAnsi="Times New Roman" w:cs="Times New Roman"/>
                <w:lang w:eastAsia="ru-RU"/>
              </w:rPr>
              <w:t>-бетонного</w:t>
            </w:r>
            <w:proofErr w:type="gramEnd"/>
            <w:r w:rsidRPr="005654F5">
              <w:rPr>
                <w:rFonts w:ascii="Times New Roman" w:eastAsia="Times New Roman" w:hAnsi="Times New Roman" w:cs="Times New Roman"/>
                <w:lang w:eastAsia="ru-RU"/>
              </w:rPr>
              <w:t xml:space="preserve"> покрытия тротуаров по готовому основанию с добавлением нового материала.</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24 608,26</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21 985,74</w:t>
            </w:r>
          </w:p>
        </w:tc>
        <w:tc>
          <w:tcPr>
            <w:tcW w:w="2021" w:type="dxa"/>
            <w:vMerge/>
            <w:tcBorders>
              <w:top w:val="nil"/>
              <w:left w:val="single" w:sz="4" w:space="0" w:color="auto"/>
              <w:bottom w:val="nil"/>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lastRenderedPageBreak/>
              <w:t>6</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Восстановление </w:t>
            </w:r>
            <w:proofErr w:type="spellStart"/>
            <w:proofErr w:type="gramStart"/>
            <w:r w:rsidRPr="005654F5">
              <w:rPr>
                <w:rFonts w:ascii="Times New Roman" w:eastAsia="Times New Roman" w:hAnsi="Times New Roman" w:cs="Times New Roman"/>
                <w:lang w:eastAsia="ru-RU"/>
              </w:rPr>
              <w:t>асфальто</w:t>
            </w:r>
            <w:proofErr w:type="spellEnd"/>
            <w:r w:rsidRPr="005654F5">
              <w:rPr>
                <w:rFonts w:ascii="Times New Roman" w:eastAsia="Times New Roman" w:hAnsi="Times New Roman" w:cs="Times New Roman"/>
                <w:lang w:eastAsia="ru-RU"/>
              </w:rPr>
              <w:t>-бетонного</w:t>
            </w:r>
            <w:proofErr w:type="gramEnd"/>
            <w:r w:rsidRPr="005654F5">
              <w:rPr>
                <w:rFonts w:ascii="Times New Roman" w:eastAsia="Times New Roman" w:hAnsi="Times New Roman" w:cs="Times New Roman"/>
                <w:lang w:eastAsia="ru-RU"/>
              </w:rPr>
              <w:t xml:space="preserve"> покрытия тротуаров по готовому основанию без добавления нового материала.</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24 001,28</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21 408,27</w:t>
            </w:r>
          </w:p>
        </w:tc>
        <w:tc>
          <w:tcPr>
            <w:tcW w:w="2021" w:type="dxa"/>
            <w:vMerge/>
            <w:tcBorders>
              <w:top w:val="nil"/>
              <w:left w:val="single" w:sz="4" w:space="0" w:color="auto"/>
              <w:bottom w:val="nil"/>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7</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Устройство покрытий из тротуарной плитки.</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23 451,96</w:t>
            </w:r>
          </w:p>
        </w:tc>
        <w:tc>
          <w:tcPr>
            <w:tcW w:w="1418" w:type="dxa"/>
            <w:tcBorders>
              <w:top w:val="nil"/>
              <w:left w:val="nil"/>
              <w:bottom w:val="single" w:sz="4" w:space="0" w:color="auto"/>
              <w:right w:val="single" w:sz="4" w:space="0" w:color="auto"/>
            </w:tcBorders>
            <w:shd w:val="clear" w:color="auto" w:fill="auto"/>
            <w:noWrap/>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21 381,82</w:t>
            </w:r>
          </w:p>
        </w:tc>
        <w:tc>
          <w:tcPr>
            <w:tcW w:w="2021" w:type="dxa"/>
            <w:vMerge/>
            <w:tcBorders>
              <w:top w:val="nil"/>
              <w:left w:val="single" w:sz="4" w:space="0" w:color="auto"/>
              <w:bottom w:val="nil"/>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8</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Устройство покрытий тротуаров из бетонной плитки типа "Брусчатка".</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27 895,63</w:t>
            </w:r>
          </w:p>
        </w:tc>
        <w:tc>
          <w:tcPr>
            <w:tcW w:w="1418" w:type="dxa"/>
            <w:tcBorders>
              <w:top w:val="nil"/>
              <w:left w:val="nil"/>
              <w:bottom w:val="single" w:sz="4" w:space="0" w:color="auto"/>
              <w:right w:val="single" w:sz="4" w:space="0" w:color="auto"/>
            </w:tcBorders>
            <w:shd w:val="clear" w:color="auto" w:fill="auto"/>
            <w:noWrap/>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25 416,81</w:t>
            </w:r>
          </w:p>
        </w:tc>
        <w:tc>
          <w:tcPr>
            <w:tcW w:w="2021" w:type="dxa"/>
            <w:vMerge/>
            <w:tcBorders>
              <w:top w:val="nil"/>
              <w:left w:val="single" w:sz="4" w:space="0" w:color="auto"/>
              <w:bottom w:val="nil"/>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9</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Устройство внутриквартальных щебеночных дорожек и площадок, толщиной слоя 12 см</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3 143,11</w:t>
            </w:r>
          </w:p>
        </w:tc>
        <w:tc>
          <w:tcPr>
            <w:tcW w:w="1418" w:type="dxa"/>
            <w:tcBorders>
              <w:top w:val="nil"/>
              <w:left w:val="nil"/>
              <w:bottom w:val="single" w:sz="4" w:space="0" w:color="auto"/>
              <w:right w:val="single" w:sz="4" w:space="0" w:color="auto"/>
            </w:tcBorders>
            <w:shd w:val="clear" w:color="auto" w:fill="auto"/>
            <w:noWrap/>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2 818,61</w:t>
            </w:r>
          </w:p>
        </w:tc>
        <w:tc>
          <w:tcPr>
            <w:tcW w:w="2021" w:type="dxa"/>
            <w:vMerge/>
            <w:tcBorders>
              <w:top w:val="nil"/>
              <w:left w:val="single" w:sz="4" w:space="0" w:color="auto"/>
              <w:bottom w:val="nil"/>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Разборка тротуаров брусчатых</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2 608,67</w:t>
            </w:r>
          </w:p>
        </w:tc>
        <w:tc>
          <w:tcPr>
            <w:tcW w:w="1418" w:type="dxa"/>
            <w:tcBorders>
              <w:top w:val="nil"/>
              <w:left w:val="nil"/>
              <w:bottom w:val="single" w:sz="4" w:space="0" w:color="auto"/>
              <w:right w:val="single" w:sz="4" w:space="0" w:color="auto"/>
            </w:tcBorders>
            <w:shd w:val="clear" w:color="auto" w:fill="auto"/>
            <w:noWrap/>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2 380,40</w:t>
            </w:r>
          </w:p>
        </w:tc>
        <w:tc>
          <w:tcPr>
            <w:tcW w:w="2021" w:type="dxa"/>
            <w:vMerge/>
            <w:tcBorders>
              <w:top w:val="nil"/>
              <w:left w:val="single" w:sz="4" w:space="0" w:color="auto"/>
              <w:bottom w:val="nil"/>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11</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Замена бортовых камней                     БР 300.30.18 </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roofErr w:type="spellStart"/>
            <w:proofErr w:type="gramStart"/>
            <w:r w:rsidRPr="005654F5">
              <w:rPr>
                <w:rFonts w:ascii="Times New Roman" w:eastAsia="Times New Roman" w:hAnsi="Times New Roman" w:cs="Times New Roman"/>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8 934,85</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8 094,35</w:t>
            </w:r>
          </w:p>
        </w:tc>
        <w:tc>
          <w:tcPr>
            <w:tcW w:w="2021" w:type="dxa"/>
            <w:vMerge w:val="restart"/>
            <w:tcBorders>
              <w:top w:val="nil"/>
              <w:left w:val="single" w:sz="4" w:space="0" w:color="auto"/>
              <w:bottom w:val="single" w:sz="4" w:space="0" w:color="000000"/>
              <w:right w:val="single" w:sz="4" w:space="0" w:color="auto"/>
            </w:tcBorders>
            <w:shd w:val="clear" w:color="auto" w:fill="auto"/>
            <w:vAlign w:val="center"/>
            <w:hideMark/>
          </w:tcPr>
          <w:p w:rsidR="005654F5" w:rsidRPr="005654F5" w:rsidRDefault="005654F5" w:rsidP="00CA12DF">
            <w:pPr>
              <w:spacing w:after="0" w:line="240" w:lineRule="auto"/>
              <w:jc w:val="center"/>
              <w:rPr>
                <w:rFonts w:ascii="Times New Roman" w:eastAsia="Times New Roman" w:hAnsi="Times New Roman" w:cs="Times New Roman"/>
                <w:color w:val="000000"/>
                <w:lang w:eastAsia="ru-RU"/>
              </w:rPr>
            </w:pPr>
            <w:r w:rsidRPr="005654F5">
              <w:rPr>
                <w:rFonts w:ascii="Times New Roman" w:eastAsia="Times New Roman" w:hAnsi="Times New Roman" w:cs="Times New Roman"/>
                <w:color w:val="000000"/>
                <w:lang w:eastAsia="ru-RU"/>
              </w:rPr>
              <w:t>ЛСР № 03.03.24                                     Замена бортовых камней</w:t>
            </w:r>
          </w:p>
        </w:tc>
      </w:tr>
      <w:tr w:rsidR="00CA12DF" w:rsidRPr="005654F5" w:rsidTr="00CA12D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12</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Замена бортовых камней                         БУ 300.30.29. </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roofErr w:type="spellStart"/>
            <w:proofErr w:type="gramStart"/>
            <w:r w:rsidRPr="005654F5">
              <w:rPr>
                <w:rFonts w:ascii="Times New Roman" w:eastAsia="Times New Roman" w:hAnsi="Times New Roman" w:cs="Times New Roman"/>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11 129,18</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10 262,11</w:t>
            </w:r>
          </w:p>
        </w:tc>
        <w:tc>
          <w:tcPr>
            <w:tcW w:w="2021" w:type="dxa"/>
            <w:vMerge/>
            <w:tcBorders>
              <w:top w:val="nil"/>
              <w:left w:val="single" w:sz="4" w:space="0" w:color="auto"/>
              <w:bottom w:val="single" w:sz="4" w:space="0" w:color="000000"/>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color w:val="000000"/>
                <w:lang w:eastAsia="ru-RU"/>
              </w:rPr>
            </w:pPr>
          </w:p>
        </w:tc>
      </w:tr>
      <w:tr w:rsidR="00CA12DF" w:rsidRPr="005654F5" w:rsidTr="00CA12D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13</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Замена бортовых камней                           БР 100.20.08.  </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roofErr w:type="spellStart"/>
            <w:proofErr w:type="gramStart"/>
            <w:r w:rsidRPr="005654F5">
              <w:rPr>
                <w:rFonts w:ascii="Times New Roman" w:eastAsia="Times New Roman" w:hAnsi="Times New Roman" w:cs="Times New Roman"/>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2 348,27</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2 063,63</w:t>
            </w:r>
          </w:p>
        </w:tc>
        <w:tc>
          <w:tcPr>
            <w:tcW w:w="2021" w:type="dxa"/>
            <w:vMerge/>
            <w:tcBorders>
              <w:top w:val="nil"/>
              <w:left w:val="single" w:sz="4" w:space="0" w:color="auto"/>
              <w:bottom w:val="single" w:sz="4" w:space="0" w:color="000000"/>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color w:val="000000"/>
                <w:lang w:eastAsia="ru-RU"/>
              </w:rPr>
            </w:pPr>
          </w:p>
        </w:tc>
      </w:tr>
      <w:tr w:rsidR="00CA12DF" w:rsidRPr="005654F5" w:rsidTr="00CA12D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14</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Замена бортовых камней                        БР 100.30.18.  </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roofErr w:type="spellStart"/>
            <w:proofErr w:type="gramStart"/>
            <w:r w:rsidRPr="005654F5">
              <w:rPr>
                <w:rFonts w:ascii="Times New Roman" w:eastAsia="Times New Roman" w:hAnsi="Times New Roman" w:cs="Times New Roman"/>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3 014,05</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2 730,28</w:t>
            </w:r>
          </w:p>
        </w:tc>
        <w:tc>
          <w:tcPr>
            <w:tcW w:w="2021" w:type="dxa"/>
            <w:vMerge/>
            <w:tcBorders>
              <w:top w:val="nil"/>
              <w:left w:val="single" w:sz="4" w:space="0" w:color="auto"/>
              <w:bottom w:val="single" w:sz="4" w:space="0" w:color="000000"/>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color w:val="000000"/>
                <w:lang w:eastAsia="ru-RU"/>
              </w:rPr>
            </w:pPr>
          </w:p>
        </w:tc>
      </w:tr>
      <w:tr w:rsidR="00CA12DF" w:rsidRPr="005654F5" w:rsidTr="00CA12D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15</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Замена бортовых камней                        БР 100.30.15. </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roofErr w:type="spellStart"/>
            <w:proofErr w:type="gramStart"/>
            <w:r w:rsidRPr="005654F5">
              <w:rPr>
                <w:rFonts w:ascii="Times New Roman" w:eastAsia="Times New Roman" w:hAnsi="Times New Roman" w:cs="Times New Roman"/>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2 854,10</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2 569,31</w:t>
            </w:r>
          </w:p>
        </w:tc>
        <w:tc>
          <w:tcPr>
            <w:tcW w:w="2021" w:type="dxa"/>
            <w:vMerge/>
            <w:tcBorders>
              <w:top w:val="nil"/>
              <w:left w:val="single" w:sz="4" w:space="0" w:color="auto"/>
              <w:bottom w:val="single" w:sz="4" w:space="0" w:color="000000"/>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color w:val="000000"/>
                <w:lang w:eastAsia="ru-RU"/>
              </w:rPr>
            </w:pPr>
          </w:p>
        </w:tc>
      </w:tr>
      <w:tr w:rsidR="00CA12DF" w:rsidRPr="005654F5" w:rsidTr="00CA12D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16</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 xml:space="preserve">Природные бортовые гранитные камни типа 1ГП </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м</w:t>
            </w:r>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5 716,21</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5 388,41</w:t>
            </w:r>
          </w:p>
        </w:tc>
        <w:tc>
          <w:tcPr>
            <w:tcW w:w="2021" w:type="dxa"/>
            <w:vMerge/>
            <w:tcBorders>
              <w:top w:val="nil"/>
              <w:left w:val="single" w:sz="4" w:space="0" w:color="auto"/>
              <w:bottom w:val="single" w:sz="4" w:space="0" w:color="000000"/>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color w:val="000000"/>
                <w:lang w:eastAsia="ru-RU"/>
              </w:rPr>
            </w:pPr>
          </w:p>
        </w:tc>
      </w:tr>
      <w:tr w:rsidR="00CA12DF" w:rsidRPr="005654F5" w:rsidTr="00CA12DF">
        <w:trPr>
          <w:trHeight w:val="1005"/>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17</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Восстановление благоустройства газонов с внесением растительной земли механизированным способом.</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5 822,29</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5 343,28</w:t>
            </w:r>
          </w:p>
        </w:tc>
        <w:tc>
          <w:tcPr>
            <w:tcW w:w="2021" w:type="dxa"/>
            <w:vMerge w:val="restart"/>
            <w:tcBorders>
              <w:top w:val="nil"/>
              <w:left w:val="single" w:sz="4" w:space="0" w:color="auto"/>
              <w:bottom w:val="single" w:sz="4" w:space="0" w:color="000000"/>
              <w:right w:val="single" w:sz="4" w:space="0" w:color="auto"/>
            </w:tcBorders>
            <w:shd w:val="clear" w:color="auto" w:fill="auto"/>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ЛСР 04.03.24 Восстановление благоустройства газонов</w:t>
            </w:r>
          </w:p>
        </w:tc>
      </w:tr>
      <w:tr w:rsidR="00CA12DF" w:rsidRPr="005654F5" w:rsidTr="00CA12DF">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18</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Восстановление благоустройства газонов с внесением растительной земли ручным способом.</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7 075,66</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6 387,75</w:t>
            </w:r>
          </w:p>
        </w:tc>
        <w:tc>
          <w:tcPr>
            <w:tcW w:w="2021" w:type="dxa"/>
            <w:vMerge/>
            <w:tcBorders>
              <w:top w:val="nil"/>
              <w:left w:val="single" w:sz="4" w:space="0" w:color="auto"/>
              <w:bottom w:val="single" w:sz="4" w:space="0" w:color="000000"/>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19</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Подготовка участка механизированным способом без внесения земли.</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753,67</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628,06</w:t>
            </w:r>
          </w:p>
        </w:tc>
        <w:tc>
          <w:tcPr>
            <w:tcW w:w="2021" w:type="dxa"/>
            <w:vMerge/>
            <w:tcBorders>
              <w:top w:val="nil"/>
              <w:left w:val="single" w:sz="4" w:space="0" w:color="auto"/>
              <w:bottom w:val="single" w:sz="4" w:space="0" w:color="000000"/>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20</w:t>
            </w:r>
          </w:p>
        </w:tc>
        <w:tc>
          <w:tcPr>
            <w:tcW w:w="3828" w:type="dxa"/>
            <w:tcBorders>
              <w:top w:val="nil"/>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Подготовка участка ручным способом без внесения земли.</w:t>
            </w:r>
          </w:p>
        </w:tc>
        <w:tc>
          <w:tcPr>
            <w:tcW w:w="1276"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1 989,56</w:t>
            </w:r>
          </w:p>
        </w:tc>
        <w:tc>
          <w:tcPr>
            <w:tcW w:w="1418" w:type="dxa"/>
            <w:tcBorders>
              <w:top w:val="nil"/>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1 657,97</w:t>
            </w:r>
          </w:p>
        </w:tc>
        <w:tc>
          <w:tcPr>
            <w:tcW w:w="2021" w:type="dxa"/>
            <w:vMerge/>
            <w:tcBorders>
              <w:top w:val="nil"/>
              <w:left w:val="single" w:sz="4" w:space="0" w:color="auto"/>
              <w:bottom w:val="single" w:sz="4" w:space="0" w:color="auto"/>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5654F5" w:rsidTr="00CA12D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21</w:t>
            </w:r>
          </w:p>
        </w:tc>
        <w:tc>
          <w:tcPr>
            <w:tcW w:w="3828" w:type="dxa"/>
            <w:tcBorders>
              <w:top w:val="single" w:sz="4" w:space="0" w:color="auto"/>
              <w:left w:val="nil"/>
              <w:bottom w:val="single" w:sz="4" w:space="0" w:color="auto"/>
              <w:right w:val="single" w:sz="4" w:space="0" w:color="auto"/>
            </w:tcBorders>
            <w:shd w:val="clear" w:color="auto" w:fill="auto"/>
            <w:hideMark/>
          </w:tcPr>
          <w:p w:rsidR="005654F5" w:rsidRPr="005654F5" w:rsidRDefault="005654F5" w:rsidP="005654F5">
            <w:pPr>
              <w:spacing w:after="0" w:line="240" w:lineRule="auto"/>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Посев газонов  вручную</w:t>
            </w:r>
          </w:p>
        </w:tc>
        <w:tc>
          <w:tcPr>
            <w:tcW w:w="1276" w:type="dxa"/>
            <w:tcBorders>
              <w:top w:val="single" w:sz="4" w:space="0" w:color="auto"/>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10 м</w:t>
            </w:r>
            <w:proofErr w:type="gramStart"/>
            <w:r w:rsidRPr="005654F5">
              <w:rPr>
                <w:rFonts w:ascii="Times New Roman" w:eastAsia="Times New Roman" w:hAnsi="Times New Roman" w:cs="Times New Roman"/>
                <w:lang w:eastAsia="ru-RU"/>
              </w:rPr>
              <w:t>2</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978,78</w:t>
            </w:r>
          </w:p>
        </w:tc>
        <w:tc>
          <w:tcPr>
            <w:tcW w:w="1418" w:type="dxa"/>
            <w:tcBorders>
              <w:top w:val="single" w:sz="4" w:space="0" w:color="auto"/>
              <w:left w:val="nil"/>
              <w:bottom w:val="single" w:sz="4" w:space="0" w:color="auto"/>
              <w:right w:val="single" w:sz="4" w:space="0" w:color="auto"/>
            </w:tcBorders>
            <w:shd w:val="clear" w:color="auto" w:fill="auto"/>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r w:rsidRPr="005654F5">
              <w:rPr>
                <w:rFonts w:ascii="Times New Roman" w:eastAsia="Times New Roman" w:hAnsi="Times New Roman" w:cs="Times New Roman"/>
                <w:lang w:eastAsia="ru-RU"/>
              </w:rPr>
              <w:t>829,02</w:t>
            </w: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5654F5" w:rsidRPr="005654F5" w:rsidRDefault="005654F5" w:rsidP="00CA12DF">
            <w:pPr>
              <w:spacing w:after="0" w:line="240" w:lineRule="auto"/>
              <w:jc w:val="center"/>
              <w:rPr>
                <w:rFonts w:ascii="Times New Roman" w:eastAsia="Times New Roman" w:hAnsi="Times New Roman" w:cs="Times New Roman"/>
                <w:lang w:eastAsia="ru-RU"/>
              </w:rPr>
            </w:pPr>
          </w:p>
        </w:tc>
      </w:tr>
      <w:tr w:rsidR="00CA12DF" w:rsidRPr="00CA12DF" w:rsidTr="00CA12DF">
        <w:trPr>
          <w:trHeight w:val="1065"/>
        </w:trPr>
        <w:tc>
          <w:tcPr>
            <w:tcW w:w="10669" w:type="dxa"/>
            <w:gridSpan w:val="6"/>
            <w:tcBorders>
              <w:top w:val="single" w:sz="4" w:space="0" w:color="auto"/>
              <w:left w:val="single" w:sz="4" w:space="0" w:color="auto"/>
              <w:bottom w:val="single" w:sz="4" w:space="0" w:color="auto"/>
              <w:right w:val="single" w:sz="4" w:space="0" w:color="auto"/>
            </w:tcBorders>
            <w:shd w:val="clear" w:color="auto" w:fill="auto"/>
          </w:tcPr>
          <w:p w:rsidR="00CA12DF" w:rsidRPr="00CA12DF" w:rsidRDefault="00CA12DF" w:rsidP="00CA12DF">
            <w:pPr>
              <w:spacing w:before="120" w:after="120" w:line="240" w:lineRule="auto"/>
              <w:jc w:val="both"/>
              <w:rPr>
                <w:rFonts w:ascii="Times New Roman" w:eastAsia="Times New Roman" w:hAnsi="Times New Roman" w:cs="Times New Roman"/>
                <w:b/>
                <w:lang w:eastAsia="ru-RU"/>
              </w:rPr>
            </w:pPr>
            <w:r w:rsidRPr="00CA12DF">
              <w:rPr>
                <w:rFonts w:ascii="Times New Roman" w:hAnsi="Times New Roman" w:cs="Times New Roman"/>
                <w:i/>
                <w:color w:val="000000"/>
              </w:rPr>
              <w:t>Торги проводятся путем снижения величины стоимости начальных (максимальных) цен на выполнение работ путем применения понижающего коэффициента от 0 до 1 (чем ниже коэффициент, тем лучше условия исполнения договора).</w:t>
            </w:r>
          </w:p>
          <w:p w:rsidR="00CA12DF" w:rsidRPr="00CA12DF" w:rsidRDefault="00CA12DF" w:rsidP="005654F5">
            <w:pPr>
              <w:spacing w:after="0" w:line="240" w:lineRule="auto"/>
              <w:rPr>
                <w:rFonts w:ascii="Times New Roman" w:eastAsia="Times New Roman" w:hAnsi="Times New Roman" w:cs="Times New Roman"/>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xml:space="preserve">, к размерам, упаковке, отгрузке товара, к результатам работы, установленные заказчиком и предусмотренные техническими регламентами в </w:t>
      </w:r>
      <w:r w:rsidR="00FD3C0E" w:rsidRPr="00B320D3">
        <w:rPr>
          <w:rFonts w:ascii="Times New Roman" w:eastAsia="Times New Roman" w:hAnsi="Times New Roman" w:cs="Times New Roman"/>
          <w:b/>
          <w:lang w:eastAsia="ru-RU"/>
        </w:rPr>
        <w:lastRenderedPageBreak/>
        <w:t>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90"/>
      <w:r w:rsidRPr="0010432B">
        <w:rPr>
          <w:rFonts w:ascii="Times New Roman" w:eastAsia="Times New Roman" w:hAnsi="Times New Roman" w:cs="Times New Roman"/>
          <w:lang w:eastAsia="ru-RU"/>
        </w:rPr>
        <w:t>2.</w:t>
      </w:r>
      <w:bookmarkStart w:id="7" w:name="_Ref299553052"/>
      <w:bookmarkStart w:id="8" w:name="_Ref314228013"/>
      <w:bookmarkEnd w:id="6"/>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7"/>
      <w:bookmarkEnd w:id="8"/>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9"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9"/>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lastRenderedPageBreak/>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OLE_LINK1"/>
      <w:bookmarkStart w:id="11"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2"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2"/>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w:t>
      </w:r>
      <w:r w:rsidRPr="0010432B">
        <w:rPr>
          <w:rFonts w:ascii="Times New Roman" w:eastAsia="Times New Roman" w:hAnsi="Times New Roman" w:cs="Times New Roman"/>
          <w:bCs/>
          <w:lang w:eastAsia="ru-RU"/>
        </w:rPr>
        <w:lastRenderedPageBreak/>
        <w:t>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10432B"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10"/>
    <w:bookmarkEnd w:id="11"/>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64661" w:rsidRPr="0010432B">
        <w:rPr>
          <w:rFonts w:ascii="Times New Roman" w:eastAsia="Times New Roman" w:hAnsi="Times New Roman" w:cs="Times New Roman"/>
          <w:b/>
          <w:lang w:eastAsia="ru-RU"/>
        </w:rPr>
        <w:t>0</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    » апреля 2024</w:t>
      </w:r>
      <w:r w:rsidRPr="00743329">
        <w:rPr>
          <w:rFonts w:ascii="Times New Roman" w:eastAsia="Times New Roman" w:hAnsi="Times New Roman" w:cs="Times New Roman"/>
          <w:lang w:eastAsia="ru-RU"/>
        </w:rPr>
        <w:t>г.</w:t>
      </w:r>
    </w:p>
    <w:p w:rsidR="00BD4F4D" w:rsidRP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соответствии с протоколом № _____ от «___»_____</w:t>
      </w:r>
      <w:r w:rsidR="00C97920">
        <w:rPr>
          <w:rFonts w:ascii="Times New Roman" w:eastAsia="Times New Roman" w:hAnsi="Times New Roman" w:cs="Times New Roman"/>
          <w:lang w:eastAsia="ru-RU"/>
        </w:rPr>
        <w:t>202</w:t>
      </w:r>
      <w:r w:rsidR="00004204">
        <w:rPr>
          <w:rFonts w:ascii="Times New Roman" w:eastAsia="Times New Roman" w:hAnsi="Times New Roman" w:cs="Times New Roman"/>
          <w:lang w:eastAsia="ru-RU"/>
        </w:rPr>
        <w:t>4</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4"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5"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6"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0B4720"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7"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004204">
        <w:rPr>
          <w:rFonts w:ascii="Times New Roman" w:eastAsia="Times New Roman" w:hAnsi="Times New Roman" w:cs="Times New Roman"/>
          <w:lang w:eastAsia="ru-RU"/>
        </w:rPr>
        <w:t>4</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3" w:name="Par123"/>
      <w:bookmarkEnd w:id="13"/>
      <w:r w:rsidRPr="00BD4F4D">
        <w:rPr>
          <w:rFonts w:ascii="Times New Roman" w:eastAsia="Times New Roman" w:hAnsi="Times New Roman" w:cs="Times New Roman"/>
          <w:b/>
          <w:lang w:eastAsia="ru-RU"/>
        </w:rPr>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lastRenderedPageBreak/>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4" w:name="Par129"/>
      <w:bookmarkEnd w:id="14"/>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Pr="00BD4F4D"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Pr="00BD4F4D"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Нижнетагильское муниципальное унитарное предприятие «Горэнерго-НТ» </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ИНН 6623090236</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КПП 662301001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ОГРН 1126623013461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Юридический адрес: 622051 г. Нижний Тагил ул. Крупской, здание 5Б строение 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Телефон/факс: 8 (3435) 230-560</w:t>
            </w:r>
          </w:p>
          <w:p w:rsidR="00FC37A2" w:rsidRPr="00B3725C" w:rsidRDefault="00FC37A2" w:rsidP="00FC37A2">
            <w:pPr>
              <w:widowControl w:val="0"/>
              <w:shd w:val="clear" w:color="auto" w:fill="FFFFFF"/>
              <w:suppressAutoHyphens/>
              <w:spacing w:after="0" w:line="240" w:lineRule="auto"/>
              <w:rPr>
                <w:rFonts w:ascii="Times New Roman" w:eastAsia="Calibri" w:hAnsi="Times New Roman" w:cs="Times New Roman"/>
                <w:color w:val="0000FF"/>
                <w:u w:val="single"/>
              </w:rPr>
            </w:pPr>
            <w:r w:rsidRPr="00FC37A2">
              <w:rPr>
                <w:rFonts w:ascii="Times New Roman" w:eastAsia="Calibri" w:hAnsi="Times New Roman" w:cs="Times New Roman"/>
              </w:rPr>
              <w:t>Эл</w:t>
            </w:r>
            <w:proofErr w:type="gramStart"/>
            <w:r w:rsidRPr="00FC37A2">
              <w:rPr>
                <w:rFonts w:ascii="Times New Roman" w:eastAsia="Calibri" w:hAnsi="Times New Roman" w:cs="Times New Roman"/>
              </w:rPr>
              <w:t>.</w:t>
            </w:r>
            <w:proofErr w:type="gramEnd"/>
            <w:r w:rsidR="002727F9">
              <w:rPr>
                <w:rFonts w:ascii="Times New Roman" w:eastAsia="Calibri" w:hAnsi="Times New Roman" w:cs="Times New Roman"/>
              </w:rPr>
              <w:t xml:space="preserve"> </w:t>
            </w:r>
            <w:proofErr w:type="gramStart"/>
            <w:r w:rsidRPr="00FC37A2">
              <w:rPr>
                <w:rFonts w:ascii="Times New Roman" w:eastAsia="Calibri" w:hAnsi="Times New Roman" w:cs="Times New Roman"/>
              </w:rPr>
              <w:t>п</w:t>
            </w:r>
            <w:proofErr w:type="gramEnd"/>
            <w:r w:rsidRPr="00FC37A2">
              <w:rPr>
                <w:rFonts w:ascii="Times New Roman" w:eastAsia="Calibri" w:hAnsi="Times New Roman" w:cs="Times New Roman"/>
              </w:rPr>
              <w:t xml:space="preserve">очта: </w:t>
            </w:r>
            <w:r w:rsidR="007F4768" w:rsidRPr="00B3725C">
              <w:rPr>
                <w:rFonts w:ascii="Times New Roman" w:eastAsia="Calibri" w:hAnsi="Times New Roman" w:cs="Times New Roman"/>
                <w:color w:val="0000FF"/>
                <w:u w:val="single"/>
              </w:rPr>
              <w:t>post@ge-nt.ru</w:t>
            </w:r>
          </w:p>
          <w:p w:rsidR="00FC37A2" w:rsidRPr="00FC37A2" w:rsidRDefault="00B3725C" w:rsidP="00FC37A2">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Р</w:t>
            </w:r>
            <w:r w:rsidR="00FC37A2" w:rsidRPr="00FC37A2">
              <w:rPr>
                <w:rFonts w:ascii="Times New Roman" w:eastAsia="Calibri" w:hAnsi="Times New Roman" w:cs="Times New Roman"/>
              </w:rPr>
              <w:t>асчетный счет 40701810601280003948</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филиале «Центральный» Банка ВТБ (ПАО)</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г. Москве</w:t>
            </w:r>
          </w:p>
          <w:p w:rsidR="00FC37A2" w:rsidRPr="00FC37A2" w:rsidRDefault="00B3725C" w:rsidP="00FC37A2">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Корр. счет</w:t>
            </w:r>
            <w:r w:rsidR="00FC37A2" w:rsidRPr="00FC37A2">
              <w:rPr>
                <w:rFonts w:ascii="Times New Roman" w:eastAsia="Calibri" w:hAnsi="Times New Roman" w:cs="Times New Roman"/>
              </w:rPr>
              <w:t xml:space="preserve"> 30101810145250000411</w:t>
            </w: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Calibri" w:hAnsi="Times New Roman" w:cs="Times New Roman"/>
              </w:rPr>
              <w:t>БИК 044525411</w:t>
            </w:r>
            <w:r w:rsidR="00BD4F4D" w:rsidRPr="00BD4F4D">
              <w:rPr>
                <w:rFonts w:ascii="Times New Roman" w:eastAsia="MS Mincho" w:hAnsi="Times New Roman" w:cs="Times New Roman"/>
              </w:rPr>
              <w:t xml:space="preserve"> </w:t>
            </w:r>
          </w:p>
          <w:p w:rsidR="00BD4F4D" w:rsidRPr="00BD4F4D" w:rsidRDefault="00BD4F4D" w:rsidP="00FC37A2">
            <w:pPr>
              <w:spacing w:after="0" w:line="240" w:lineRule="auto"/>
              <w:rPr>
                <w:rFonts w:ascii="Times New Roman" w:eastAsia="MS Mincho" w:hAnsi="Times New Roman" w:cs="Times New Roman"/>
              </w:rPr>
            </w:pP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9E036A" w:rsidP="00FC37A2">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«Горэнерго-НТ»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E26EA">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FE26EA">
              <w:rPr>
                <w:rFonts w:ascii="Times New Roman" w:hAnsi="Times New Roman" w:cs="Times New Roman"/>
                <w:kern w:val="1"/>
              </w:rPr>
              <w:t xml:space="preserve"> 31.12.2024</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w:t>
            </w:r>
            <w:bookmarkStart w:id="15" w:name="_GoBack"/>
            <w:bookmarkEnd w:id="15"/>
            <w:r w:rsidRPr="007D3673">
              <w:rPr>
                <w:rFonts w:ascii="Times New Roman" w:hAnsi="Times New Roman" w:cs="Times New Roman"/>
                <w:kern w:val="1"/>
              </w:rPr>
              <w:t xml:space="preserve">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402E0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1B55BF51" wp14:editId="439958B2">
            <wp:simplePos x="0" y="0"/>
            <wp:positionH relativeFrom="column">
              <wp:posOffset>40005</wp:posOffset>
            </wp:positionH>
            <wp:positionV relativeFrom="paragraph">
              <wp:posOffset>64770</wp:posOffset>
            </wp:positionV>
            <wp:extent cx="6570345" cy="1557655"/>
            <wp:effectExtent l="0" t="0" r="1905"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034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720" w:rsidRDefault="000B4720"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2964"/>
        <w:gridCol w:w="3521"/>
      </w:tblGrid>
      <w:tr w:rsidR="000B4720" w:rsidRPr="000B4720" w:rsidTr="000B4720">
        <w:trPr>
          <w:trHeight w:val="567"/>
        </w:trPr>
        <w:tc>
          <w:tcPr>
            <w:tcW w:w="4078" w:type="dxa"/>
            <w:vAlign w:val="bottom"/>
          </w:tcPr>
          <w:p w:rsidR="000B4720" w:rsidRPr="000B4720" w:rsidRDefault="000B4720" w:rsidP="000B4720">
            <w:pPr>
              <w:widowControl/>
              <w:autoSpaceDE/>
              <w:autoSpaceDN/>
              <w:adjustRightInd/>
              <w:spacing w:after="200" w:line="276" w:lineRule="auto"/>
              <w:ind w:firstLine="0"/>
              <w:jc w:val="right"/>
              <w:rPr>
                <w:rFonts w:ascii="Times New Roman" w:eastAsiaTheme="minorHAnsi" w:hAnsi="Times New Roman" w:cstheme="minorBidi"/>
                <w:sz w:val="22"/>
                <w:szCs w:val="24"/>
                <w:lang w:eastAsia="ar-SA"/>
              </w:rPr>
            </w:pPr>
            <w:r w:rsidRPr="000B4720">
              <w:rPr>
                <w:rFonts w:ascii="Times New Roman" w:eastAsiaTheme="minorHAnsi" w:hAnsi="Times New Roman" w:cstheme="minorBidi"/>
                <w:sz w:val="22"/>
                <w:szCs w:val="24"/>
                <w:lang w:eastAsia="ar-SA"/>
              </w:rPr>
              <w:t>Составил: Начальник участка АВР</w:t>
            </w:r>
          </w:p>
        </w:tc>
        <w:tc>
          <w:tcPr>
            <w:tcW w:w="2964" w:type="dxa"/>
            <w:tcBorders>
              <w:bottom w:val="single" w:sz="4" w:space="0" w:color="auto"/>
            </w:tcBorders>
            <w:vAlign w:val="bottom"/>
          </w:tcPr>
          <w:p w:rsidR="000B4720" w:rsidRPr="000B4720" w:rsidRDefault="000B4720" w:rsidP="000B4720">
            <w:pPr>
              <w:widowControl/>
              <w:autoSpaceDE/>
              <w:autoSpaceDN/>
              <w:adjustRightInd/>
              <w:spacing w:after="200" w:line="276" w:lineRule="auto"/>
              <w:ind w:firstLine="0"/>
              <w:jc w:val="center"/>
              <w:rPr>
                <w:rFonts w:ascii="Times New Roman" w:eastAsiaTheme="minorHAnsi" w:hAnsi="Times New Roman" w:cstheme="minorBidi"/>
                <w:sz w:val="22"/>
                <w:szCs w:val="24"/>
                <w:lang w:eastAsia="ar-SA"/>
              </w:rPr>
            </w:pPr>
          </w:p>
        </w:tc>
        <w:tc>
          <w:tcPr>
            <w:tcW w:w="3521" w:type="dxa"/>
            <w:vAlign w:val="bottom"/>
          </w:tcPr>
          <w:p w:rsidR="000B4720" w:rsidRPr="000B4720" w:rsidRDefault="000B4720" w:rsidP="000B4720">
            <w:pPr>
              <w:widowControl/>
              <w:autoSpaceDE/>
              <w:autoSpaceDN/>
              <w:adjustRightInd/>
              <w:spacing w:after="200" w:line="276" w:lineRule="auto"/>
              <w:ind w:firstLine="0"/>
              <w:jc w:val="left"/>
              <w:rPr>
                <w:rFonts w:ascii="Times New Roman" w:eastAsiaTheme="minorHAnsi" w:hAnsi="Times New Roman" w:cstheme="minorBidi"/>
                <w:sz w:val="22"/>
                <w:szCs w:val="24"/>
                <w:lang w:eastAsia="ar-SA"/>
              </w:rPr>
            </w:pPr>
            <w:r w:rsidRPr="000B4720">
              <w:rPr>
                <w:rFonts w:ascii="Times New Roman" w:eastAsiaTheme="minorHAnsi" w:hAnsi="Times New Roman" w:cstheme="minorBidi"/>
                <w:sz w:val="22"/>
                <w:szCs w:val="24"/>
                <w:lang w:eastAsia="ar-SA"/>
              </w:rPr>
              <w:t>Д.В. Козлов</w:t>
            </w:r>
          </w:p>
        </w:tc>
      </w:tr>
      <w:tr w:rsidR="000B4720" w:rsidRPr="000B4720" w:rsidTr="000B4720">
        <w:trPr>
          <w:trHeight w:val="567"/>
        </w:trPr>
        <w:tc>
          <w:tcPr>
            <w:tcW w:w="4078" w:type="dxa"/>
            <w:vAlign w:val="bottom"/>
          </w:tcPr>
          <w:p w:rsidR="000B4720" w:rsidRPr="000B4720" w:rsidRDefault="000B4720" w:rsidP="000B4720">
            <w:pPr>
              <w:widowControl/>
              <w:autoSpaceDE/>
              <w:autoSpaceDN/>
              <w:adjustRightInd/>
              <w:spacing w:after="200" w:line="276" w:lineRule="auto"/>
              <w:ind w:firstLine="0"/>
              <w:jc w:val="right"/>
              <w:rPr>
                <w:rFonts w:ascii="Times New Roman" w:eastAsiaTheme="minorHAnsi" w:hAnsi="Times New Roman" w:cstheme="minorBidi"/>
                <w:sz w:val="22"/>
                <w:szCs w:val="24"/>
                <w:lang w:eastAsia="ar-SA"/>
              </w:rPr>
            </w:pPr>
            <w:r w:rsidRPr="000B4720">
              <w:rPr>
                <w:rFonts w:ascii="Times New Roman" w:eastAsiaTheme="minorHAnsi" w:hAnsi="Times New Roman" w:cstheme="minorBidi"/>
                <w:sz w:val="22"/>
                <w:szCs w:val="24"/>
                <w:lang w:eastAsia="ar-SA"/>
              </w:rPr>
              <w:t>Согласовано: Помощник директора</w:t>
            </w:r>
          </w:p>
        </w:tc>
        <w:tc>
          <w:tcPr>
            <w:tcW w:w="2964" w:type="dxa"/>
            <w:tcBorders>
              <w:top w:val="single" w:sz="4" w:space="0" w:color="auto"/>
              <w:bottom w:val="single" w:sz="4" w:space="0" w:color="auto"/>
            </w:tcBorders>
            <w:vAlign w:val="bottom"/>
          </w:tcPr>
          <w:p w:rsidR="000B4720" w:rsidRPr="000B4720" w:rsidRDefault="000B4720" w:rsidP="000B4720">
            <w:pPr>
              <w:widowControl/>
              <w:autoSpaceDE/>
              <w:autoSpaceDN/>
              <w:adjustRightInd/>
              <w:spacing w:after="200" w:line="276" w:lineRule="auto"/>
              <w:ind w:firstLine="0"/>
              <w:jc w:val="center"/>
              <w:rPr>
                <w:rFonts w:ascii="Times New Roman" w:eastAsiaTheme="minorHAnsi" w:hAnsi="Times New Roman" w:cstheme="minorBidi"/>
                <w:sz w:val="22"/>
                <w:szCs w:val="24"/>
                <w:lang w:eastAsia="ar-SA"/>
              </w:rPr>
            </w:pPr>
          </w:p>
        </w:tc>
        <w:tc>
          <w:tcPr>
            <w:tcW w:w="3521" w:type="dxa"/>
            <w:vAlign w:val="bottom"/>
          </w:tcPr>
          <w:p w:rsidR="000B4720" w:rsidRPr="000B4720" w:rsidRDefault="000B4720" w:rsidP="000B4720">
            <w:pPr>
              <w:widowControl/>
              <w:autoSpaceDE/>
              <w:autoSpaceDN/>
              <w:adjustRightInd/>
              <w:spacing w:after="200" w:line="276" w:lineRule="auto"/>
              <w:ind w:firstLine="0"/>
              <w:jc w:val="left"/>
              <w:rPr>
                <w:rFonts w:ascii="Times New Roman" w:eastAsiaTheme="minorHAnsi" w:hAnsi="Times New Roman" w:cstheme="minorBidi"/>
                <w:sz w:val="22"/>
                <w:szCs w:val="24"/>
                <w:lang w:eastAsia="ar-SA"/>
              </w:rPr>
            </w:pPr>
            <w:r w:rsidRPr="000B4720">
              <w:rPr>
                <w:rFonts w:ascii="Times New Roman" w:eastAsiaTheme="minorHAnsi" w:hAnsi="Times New Roman" w:cstheme="minorBidi"/>
                <w:sz w:val="22"/>
                <w:szCs w:val="24"/>
                <w:lang w:eastAsia="ar-SA"/>
              </w:rPr>
              <w:t>Д.С.Шурупов</w:t>
            </w:r>
          </w:p>
        </w:tc>
      </w:tr>
    </w:tbl>
    <w:p w:rsidR="000B4720" w:rsidRDefault="000B4720"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FE26EA" w:rsidRDefault="00FE26EA" w:rsidP="00235668">
      <w:pPr>
        <w:jc w:val="right"/>
        <w:rPr>
          <w:rFonts w:ascii="Times New Roman" w:eastAsia="Times New Roman" w:hAnsi="Times New Roman" w:cs="Times New Roman"/>
          <w:sz w:val="24"/>
          <w:szCs w:val="24"/>
          <w:lang w:eastAsia="ar-SA"/>
        </w:rPr>
      </w:pP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3F5916">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lastRenderedPageBreak/>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3F5916">
              <w:rPr>
                <w:rFonts w:ascii="Times New Roman" w:eastAsia="Times New Roman" w:hAnsi="Times New Roman" w:cs="Times New Roman"/>
                <w:sz w:val="24"/>
                <w:szCs w:val="24"/>
                <w:lang w:eastAsia="ru-RU"/>
              </w:rPr>
              <w:t>4</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lastRenderedPageBreak/>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9"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20"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1"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20" w:rsidRDefault="000B4720">
      <w:pPr>
        <w:spacing w:after="0" w:line="240" w:lineRule="auto"/>
      </w:pPr>
      <w:r>
        <w:separator/>
      </w:r>
    </w:p>
  </w:endnote>
  <w:endnote w:type="continuationSeparator" w:id="0">
    <w:p w:rsidR="000B4720" w:rsidRDefault="000B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20" w:rsidRDefault="000B4720">
      <w:pPr>
        <w:spacing w:after="0" w:line="240" w:lineRule="auto"/>
      </w:pPr>
      <w:r>
        <w:separator/>
      </w:r>
    </w:p>
  </w:footnote>
  <w:footnote w:type="continuationSeparator" w:id="0">
    <w:p w:rsidR="000B4720" w:rsidRDefault="000B4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20" w:rsidRDefault="000B4720" w:rsidP="007C2D12">
    <w:pPr>
      <w:pStyle w:val="a7"/>
      <w:framePr w:w="387" w:wrap="around" w:vAnchor="text" w:hAnchor="margin" w:xAlign="center" w:y="1"/>
      <w:rPr>
        <w:rStyle w:val="ab"/>
      </w:rPr>
    </w:pPr>
  </w:p>
  <w:p w:rsidR="000B4720" w:rsidRDefault="000B47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30FC"/>
    <w:rsid w:val="000D5C63"/>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60121"/>
    <w:rsid w:val="00162DB7"/>
    <w:rsid w:val="00166C4B"/>
    <w:rsid w:val="001733E0"/>
    <w:rsid w:val="00175A19"/>
    <w:rsid w:val="0017659D"/>
    <w:rsid w:val="00177189"/>
    <w:rsid w:val="00180A62"/>
    <w:rsid w:val="00192C4D"/>
    <w:rsid w:val="00194F70"/>
    <w:rsid w:val="00196B57"/>
    <w:rsid w:val="001A3D1D"/>
    <w:rsid w:val="001A6F3F"/>
    <w:rsid w:val="001B10CB"/>
    <w:rsid w:val="001B4B69"/>
    <w:rsid w:val="001B7650"/>
    <w:rsid w:val="001B7980"/>
    <w:rsid w:val="001C3FD5"/>
    <w:rsid w:val="001C6B36"/>
    <w:rsid w:val="001D3A41"/>
    <w:rsid w:val="001E09FB"/>
    <w:rsid w:val="001E3CB3"/>
    <w:rsid w:val="001F04C3"/>
    <w:rsid w:val="001F104B"/>
    <w:rsid w:val="002003EA"/>
    <w:rsid w:val="00201FC6"/>
    <w:rsid w:val="00203BFF"/>
    <w:rsid w:val="00205309"/>
    <w:rsid w:val="0020655A"/>
    <w:rsid w:val="00207182"/>
    <w:rsid w:val="0021624F"/>
    <w:rsid w:val="002166CC"/>
    <w:rsid w:val="00216C54"/>
    <w:rsid w:val="00220AED"/>
    <w:rsid w:val="0022758E"/>
    <w:rsid w:val="00235668"/>
    <w:rsid w:val="00240862"/>
    <w:rsid w:val="0024365B"/>
    <w:rsid w:val="002514BC"/>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52DE"/>
    <w:rsid w:val="003820E9"/>
    <w:rsid w:val="0039538A"/>
    <w:rsid w:val="003A12AD"/>
    <w:rsid w:val="003A34E7"/>
    <w:rsid w:val="003B5937"/>
    <w:rsid w:val="003C1A0F"/>
    <w:rsid w:val="003C6B19"/>
    <w:rsid w:val="003F38E7"/>
    <w:rsid w:val="003F4A1C"/>
    <w:rsid w:val="003F5916"/>
    <w:rsid w:val="003F746B"/>
    <w:rsid w:val="00401954"/>
    <w:rsid w:val="00402E0B"/>
    <w:rsid w:val="00406CB0"/>
    <w:rsid w:val="004117F5"/>
    <w:rsid w:val="00416AB0"/>
    <w:rsid w:val="00426DD4"/>
    <w:rsid w:val="00430AEA"/>
    <w:rsid w:val="00437467"/>
    <w:rsid w:val="00437D36"/>
    <w:rsid w:val="0044098F"/>
    <w:rsid w:val="00440F52"/>
    <w:rsid w:val="0044264F"/>
    <w:rsid w:val="004447DA"/>
    <w:rsid w:val="00452787"/>
    <w:rsid w:val="00455124"/>
    <w:rsid w:val="004573E4"/>
    <w:rsid w:val="00463AFA"/>
    <w:rsid w:val="00464C9E"/>
    <w:rsid w:val="004716FA"/>
    <w:rsid w:val="00474818"/>
    <w:rsid w:val="00477885"/>
    <w:rsid w:val="00486BC1"/>
    <w:rsid w:val="00491DD6"/>
    <w:rsid w:val="004923E5"/>
    <w:rsid w:val="00492D22"/>
    <w:rsid w:val="0049642E"/>
    <w:rsid w:val="004A1CD0"/>
    <w:rsid w:val="004B2871"/>
    <w:rsid w:val="004B3446"/>
    <w:rsid w:val="004B45C5"/>
    <w:rsid w:val="004B6995"/>
    <w:rsid w:val="004B6D11"/>
    <w:rsid w:val="004B6F40"/>
    <w:rsid w:val="004C1350"/>
    <w:rsid w:val="004C18D1"/>
    <w:rsid w:val="004C1F7E"/>
    <w:rsid w:val="004C79FA"/>
    <w:rsid w:val="004D0342"/>
    <w:rsid w:val="004D108C"/>
    <w:rsid w:val="004D1A4D"/>
    <w:rsid w:val="004D775A"/>
    <w:rsid w:val="004D7B32"/>
    <w:rsid w:val="004E0568"/>
    <w:rsid w:val="004E1E60"/>
    <w:rsid w:val="004E34B1"/>
    <w:rsid w:val="004E45B8"/>
    <w:rsid w:val="004E4E47"/>
    <w:rsid w:val="004E632B"/>
    <w:rsid w:val="004E6E19"/>
    <w:rsid w:val="004F0EE8"/>
    <w:rsid w:val="004F471C"/>
    <w:rsid w:val="004F7933"/>
    <w:rsid w:val="00502FA8"/>
    <w:rsid w:val="00503752"/>
    <w:rsid w:val="00504711"/>
    <w:rsid w:val="0050476C"/>
    <w:rsid w:val="00506FA3"/>
    <w:rsid w:val="00510592"/>
    <w:rsid w:val="00514BBB"/>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8198B"/>
    <w:rsid w:val="005838ED"/>
    <w:rsid w:val="00596590"/>
    <w:rsid w:val="00596F18"/>
    <w:rsid w:val="005A503D"/>
    <w:rsid w:val="005B1F6F"/>
    <w:rsid w:val="005B49B6"/>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7D00"/>
    <w:rsid w:val="006262F3"/>
    <w:rsid w:val="00630BD5"/>
    <w:rsid w:val="00634756"/>
    <w:rsid w:val="006357FF"/>
    <w:rsid w:val="00643099"/>
    <w:rsid w:val="006453A2"/>
    <w:rsid w:val="00645BBB"/>
    <w:rsid w:val="00645C2F"/>
    <w:rsid w:val="0065055F"/>
    <w:rsid w:val="00665EA0"/>
    <w:rsid w:val="00670C74"/>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51DC"/>
    <w:rsid w:val="006C669D"/>
    <w:rsid w:val="006D6BFA"/>
    <w:rsid w:val="006E1217"/>
    <w:rsid w:val="006E2569"/>
    <w:rsid w:val="006E4EBC"/>
    <w:rsid w:val="006E55E9"/>
    <w:rsid w:val="006F692E"/>
    <w:rsid w:val="007113A1"/>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A17E5"/>
    <w:rsid w:val="008A1E1F"/>
    <w:rsid w:val="008A4651"/>
    <w:rsid w:val="008A74A1"/>
    <w:rsid w:val="008A7525"/>
    <w:rsid w:val="008A7900"/>
    <w:rsid w:val="008B342A"/>
    <w:rsid w:val="008C33CC"/>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5335"/>
    <w:rsid w:val="009A3036"/>
    <w:rsid w:val="009A479C"/>
    <w:rsid w:val="009C06D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783"/>
    <w:rsid w:val="00B31F67"/>
    <w:rsid w:val="00B320D3"/>
    <w:rsid w:val="00B340FF"/>
    <w:rsid w:val="00B3725C"/>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1958"/>
    <w:rsid w:val="00CF61D9"/>
    <w:rsid w:val="00D01957"/>
    <w:rsid w:val="00D11F4C"/>
    <w:rsid w:val="00D154C0"/>
    <w:rsid w:val="00D15C58"/>
    <w:rsid w:val="00D1603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3DDC"/>
    <w:rsid w:val="00E047A9"/>
    <w:rsid w:val="00E11C0D"/>
    <w:rsid w:val="00E125D6"/>
    <w:rsid w:val="00E12EEF"/>
    <w:rsid w:val="00E15AC3"/>
    <w:rsid w:val="00E21FA4"/>
    <w:rsid w:val="00E3393D"/>
    <w:rsid w:val="00E33C63"/>
    <w:rsid w:val="00E37279"/>
    <w:rsid w:val="00E4490B"/>
    <w:rsid w:val="00E57BE8"/>
    <w:rsid w:val="00E6220B"/>
    <w:rsid w:val="00E63BA4"/>
    <w:rsid w:val="00E64734"/>
    <w:rsid w:val="00E6590A"/>
    <w:rsid w:val="00E662C9"/>
    <w:rsid w:val="00E71A6B"/>
    <w:rsid w:val="00E727FB"/>
    <w:rsid w:val="00E74FEF"/>
    <w:rsid w:val="00E85F5B"/>
    <w:rsid w:val="00E90B1F"/>
    <w:rsid w:val="00E927D4"/>
    <w:rsid w:val="00E95B3B"/>
    <w:rsid w:val="00EA4C56"/>
    <w:rsid w:val="00EA6F27"/>
    <w:rsid w:val="00EB1382"/>
    <w:rsid w:val="00EB612B"/>
    <w:rsid w:val="00EB667D"/>
    <w:rsid w:val="00EC7F97"/>
    <w:rsid w:val="00ED36DE"/>
    <w:rsid w:val="00ED70F7"/>
    <w:rsid w:val="00EF49B9"/>
    <w:rsid w:val="00F04B77"/>
    <w:rsid w:val="00F12948"/>
    <w:rsid w:val="00F14B69"/>
    <w:rsid w:val="00F244C2"/>
    <w:rsid w:val="00F2457D"/>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7925"/>
    <w:rsid w:val="00F93E83"/>
    <w:rsid w:val="00F9492C"/>
    <w:rsid w:val="00F95E78"/>
    <w:rsid w:val="00FA335E"/>
    <w:rsid w:val="00FA5D18"/>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4E4A8A9A0B98E954294195665813EFD2099B405C81D128E4936402B7B6h0E"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consultantplus://offline/ref=884E4A8A9A0B98E954294195665813EFD2099B405C81D128E4936402B7B6h0E" TargetMode="External"/><Relationship Id="rId7" Type="http://schemas.openxmlformats.org/officeDocument/2006/relationships/footnotes" Target="footnotes.xml"/><Relationship Id="rId12" Type="http://schemas.openxmlformats.org/officeDocument/2006/relationships/hyperlink" Target="consultantplus://offline/ref=884E4A8A9A0B98E954294195665813EFD2099B405B83D128E4936402B7B6h0E" TargetMode="External"/><Relationship Id="rId17"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hyperlink" Target="consultantplus://offline/ref=A2F7BC5F5F3143C1421491951991A34BF0B6271103F64DE1B939E9q9g9F" TargetMode="External"/><Relationship Id="rId20" Type="http://schemas.openxmlformats.org/officeDocument/2006/relationships/hyperlink" Target="consultantplus://offline/ref=884E4A8A9A0B98E954294195665813EFD2099B405B83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5405F80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61803F64DE1B939E9q9g9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884E4A8A9A0B98E954294195665813EFD20995405F80D128E4936402B7B6h0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52FA90F-B287-415F-ADDD-60E1E151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21</Pages>
  <Words>11031</Words>
  <Characters>62881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157</cp:revision>
  <cp:lastPrinted>2024-07-30T07:09:00Z</cp:lastPrinted>
  <dcterms:created xsi:type="dcterms:W3CDTF">2019-08-22T08:48:00Z</dcterms:created>
  <dcterms:modified xsi:type="dcterms:W3CDTF">2024-07-30T07:11:00Z</dcterms:modified>
</cp:coreProperties>
</file>