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E145DB"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3465CC">
              <w:rPr>
                <w:rFonts w:ascii="Times New Roman" w:eastAsia="Times New Roman" w:hAnsi="Times New Roman" w:cs="Times New Roman"/>
                <w:color w:val="000000"/>
                <w:sz w:val="24"/>
                <w:szCs w:val="20"/>
                <w:lang w:eastAsia="ru-RU"/>
              </w:rPr>
              <w:t>10» июля</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E145DB"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E145DB">
        <w:rPr>
          <w:rFonts w:ascii="Times New Roman" w:eastAsia="Times New Roman" w:hAnsi="Times New Roman" w:cs="Times New Roman"/>
          <w:b/>
          <w:sz w:val="24"/>
          <w:szCs w:val="24"/>
          <w:lang w:eastAsia="ru-RU"/>
        </w:rPr>
        <w:t>ЗАПРОС КОТИРОВОК</w:t>
      </w:r>
    </w:p>
    <w:p w:rsidR="00484E69" w:rsidRPr="00E145DB" w:rsidRDefault="00964E74" w:rsidP="004E76DC">
      <w:pPr>
        <w:spacing w:after="0" w:line="240" w:lineRule="auto"/>
        <w:jc w:val="center"/>
        <w:rPr>
          <w:rFonts w:ascii="Times New Roman" w:eastAsia="Times New Roman" w:hAnsi="Times New Roman" w:cs="Times New Roman"/>
          <w:b/>
          <w:sz w:val="24"/>
          <w:szCs w:val="24"/>
          <w:lang w:eastAsia="ru-RU"/>
        </w:rPr>
      </w:pPr>
      <w:r w:rsidRPr="00E145DB">
        <w:rPr>
          <w:rFonts w:ascii="Times New Roman" w:eastAsia="Times New Roman" w:hAnsi="Times New Roman" w:cs="Times New Roman"/>
          <w:b/>
          <w:sz w:val="24"/>
          <w:szCs w:val="24"/>
          <w:lang w:eastAsia="ru-RU"/>
        </w:rPr>
        <w:t>в электронной форме</w:t>
      </w:r>
      <w:r w:rsidR="00484E69" w:rsidRPr="00E145DB">
        <w:rPr>
          <w:rFonts w:ascii="Times New Roman" w:eastAsia="Times New Roman" w:hAnsi="Times New Roman" w:cs="Times New Roman"/>
          <w:b/>
          <w:sz w:val="24"/>
          <w:szCs w:val="24"/>
          <w:lang w:eastAsia="ru-RU"/>
        </w:rPr>
        <w:t xml:space="preserve"> </w:t>
      </w:r>
    </w:p>
    <w:p w:rsidR="0020010C" w:rsidRDefault="0020010C" w:rsidP="00B02BDA">
      <w:pPr>
        <w:spacing w:before="120" w:after="0" w:line="240" w:lineRule="auto"/>
        <w:jc w:val="center"/>
        <w:rPr>
          <w:rFonts w:ascii="Times New Roman" w:eastAsia="Times New Roman" w:hAnsi="Times New Roman" w:cs="Times New Roman"/>
          <w:b/>
          <w:sz w:val="24"/>
          <w:szCs w:val="24"/>
          <w:lang w:eastAsia="ru-RU"/>
        </w:rPr>
      </w:pPr>
      <w:r w:rsidRPr="0020010C">
        <w:rPr>
          <w:rFonts w:ascii="Times New Roman" w:eastAsia="Times New Roman" w:hAnsi="Times New Roman" w:cs="Times New Roman"/>
          <w:b/>
          <w:sz w:val="24"/>
          <w:szCs w:val="24"/>
          <w:lang w:eastAsia="ru-RU"/>
        </w:rPr>
        <w:t xml:space="preserve">Капитальный ремонт тепловой сети </w:t>
      </w:r>
    </w:p>
    <w:p w:rsidR="00484E69" w:rsidRPr="00484E69" w:rsidRDefault="0020010C" w:rsidP="00B02BDA">
      <w:pPr>
        <w:spacing w:before="120" w:after="0" w:line="240" w:lineRule="auto"/>
        <w:jc w:val="center"/>
        <w:rPr>
          <w:rFonts w:ascii="Times New Roman" w:eastAsia="Calibri" w:hAnsi="Times New Roman" w:cs="Times New Roman"/>
          <w:sz w:val="24"/>
          <w:szCs w:val="24"/>
          <w:highlight w:val="yellow"/>
        </w:rPr>
      </w:pPr>
      <w:r w:rsidRPr="0020010C">
        <w:rPr>
          <w:rFonts w:ascii="Times New Roman" w:eastAsia="Times New Roman" w:hAnsi="Times New Roman" w:cs="Times New Roman"/>
          <w:b/>
          <w:sz w:val="24"/>
          <w:szCs w:val="24"/>
          <w:lang w:eastAsia="ru-RU"/>
        </w:rPr>
        <w:t>от ТК №2/177 через ТК №2/178 до ж.д. Тимирязева 45, 47</w:t>
      </w: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Pr="00484E69" w:rsidRDefault="00E145D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E145DB">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F6451C" w:rsidRDefault="00F6451C" w:rsidP="004E76DC">
      <w:pPr>
        <w:pStyle w:val="afff1"/>
        <w:rPr>
          <w:sz w:val="22"/>
          <w:szCs w:val="22"/>
        </w:rPr>
      </w:pPr>
    </w:p>
    <w:p w:rsidR="0020010C" w:rsidRDefault="0020010C" w:rsidP="004E76DC">
      <w:pPr>
        <w:pStyle w:val="afff1"/>
        <w:rPr>
          <w:sz w:val="22"/>
          <w:szCs w:val="22"/>
        </w:rPr>
      </w:pPr>
    </w:p>
    <w:p w:rsidR="0020010C" w:rsidRDefault="0020010C" w:rsidP="004E76DC">
      <w:pPr>
        <w:pStyle w:val="afff1"/>
        <w:rPr>
          <w:sz w:val="22"/>
          <w:szCs w:val="22"/>
        </w:rPr>
      </w:pPr>
    </w:p>
    <w:p w:rsidR="003C0F97" w:rsidRDefault="003C0F97" w:rsidP="004E76DC">
      <w:pPr>
        <w:pStyle w:val="afff1"/>
        <w:rPr>
          <w:sz w:val="22"/>
          <w:szCs w:val="22"/>
        </w:rPr>
      </w:pPr>
    </w:p>
    <w:p w:rsidR="00F6451C" w:rsidRDefault="00F6451C" w:rsidP="004E76DC">
      <w:pPr>
        <w:pStyle w:val="afff1"/>
        <w:rPr>
          <w:sz w:val="22"/>
          <w:szCs w:val="22"/>
        </w:rPr>
      </w:pPr>
    </w:p>
    <w:p w:rsidR="00C37602" w:rsidRPr="00C37602" w:rsidRDefault="008B342A" w:rsidP="00C37602">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7424C2">
        <w:rPr>
          <w:sz w:val="22"/>
          <w:szCs w:val="22"/>
        </w:rPr>
        <w:t>к</w:t>
      </w:r>
      <w:r w:rsidR="007424C2" w:rsidRPr="007424C2">
        <w:rPr>
          <w:sz w:val="22"/>
          <w:szCs w:val="22"/>
        </w:rPr>
        <w:t>апитальн</w:t>
      </w:r>
      <w:r w:rsidR="007424C2">
        <w:rPr>
          <w:sz w:val="22"/>
          <w:szCs w:val="22"/>
        </w:rPr>
        <w:t>ому</w:t>
      </w:r>
      <w:r w:rsidR="007424C2" w:rsidRPr="007424C2">
        <w:rPr>
          <w:sz w:val="22"/>
          <w:szCs w:val="22"/>
        </w:rPr>
        <w:t xml:space="preserve"> ремонт</w:t>
      </w:r>
      <w:r w:rsidR="007424C2">
        <w:rPr>
          <w:sz w:val="22"/>
          <w:szCs w:val="22"/>
        </w:rPr>
        <w:t>у</w:t>
      </w:r>
      <w:r w:rsidR="007424C2" w:rsidRPr="007424C2">
        <w:rPr>
          <w:sz w:val="22"/>
          <w:szCs w:val="22"/>
        </w:rPr>
        <w:t xml:space="preserve"> </w:t>
      </w:r>
      <w:r w:rsidR="00C37602" w:rsidRPr="00C37602">
        <w:rPr>
          <w:sz w:val="22"/>
          <w:szCs w:val="22"/>
        </w:rPr>
        <w:t xml:space="preserve">тепловой сети от ТК №2/177 через ТК №2/178 </w:t>
      </w:r>
      <w:proofErr w:type="gramStart"/>
      <w:r w:rsidR="00C37602" w:rsidRPr="00C37602">
        <w:rPr>
          <w:sz w:val="22"/>
          <w:szCs w:val="22"/>
        </w:rPr>
        <w:t>до ж</w:t>
      </w:r>
      <w:proofErr w:type="gramEnd"/>
      <w:r w:rsidR="00C37602" w:rsidRPr="00C37602">
        <w:rPr>
          <w:sz w:val="22"/>
          <w:szCs w:val="22"/>
        </w:rPr>
        <w:t>.д. Тимирязева 45, 47</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3D0C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B7058C" w:rsidRPr="00B7058C">
              <w:rPr>
                <w:rFonts w:ascii="Times New Roman" w:eastAsia="Times New Roman" w:hAnsi="Times New Roman" w:cs="Times New Roman"/>
                <w:lang w:eastAsia="ru-RU"/>
              </w:rPr>
              <w:t>на выполнение работ по капитальному ремонту тепловой сети от ТК №2/177 через ТК №2/178 до ж.д. Тимирязева 45, 47</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C6C85" w:rsidRDefault="00A96072" w:rsidP="008C6C85">
            <w:pPr>
              <w:spacing w:after="0" w:line="240" w:lineRule="auto"/>
              <w:ind w:right="57"/>
              <w:rPr>
                <w:rFonts w:ascii="Times New Roman" w:eastAsia="Times New Roman" w:hAnsi="Times New Roman" w:cs="Times New Roman"/>
                <w:lang w:eastAsia="ru-RU"/>
              </w:rPr>
            </w:pPr>
            <w:r w:rsidRPr="00A96072">
              <w:rPr>
                <w:rFonts w:ascii="Times New Roman" w:eastAsia="Times New Roman" w:hAnsi="Times New Roman" w:cs="Times New Roman"/>
                <w:lang w:eastAsia="ru-RU"/>
              </w:rPr>
              <w:t>1</w:t>
            </w:r>
            <w:r w:rsidR="00EE635D">
              <w:rPr>
                <w:rFonts w:ascii="Times New Roman" w:eastAsia="Times New Roman" w:hAnsi="Times New Roman" w:cs="Times New Roman"/>
                <w:lang w:eastAsia="ru-RU"/>
              </w:rPr>
              <w:t> </w:t>
            </w:r>
            <w:r w:rsidRPr="00A96072">
              <w:rPr>
                <w:rFonts w:ascii="Times New Roman" w:eastAsia="Times New Roman" w:hAnsi="Times New Roman" w:cs="Times New Roman"/>
                <w:lang w:eastAsia="ru-RU"/>
              </w:rPr>
              <w:t>832</w:t>
            </w:r>
            <w:r w:rsidR="00EE635D">
              <w:rPr>
                <w:rFonts w:ascii="Times New Roman" w:eastAsia="Times New Roman" w:hAnsi="Times New Roman" w:cs="Times New Roman"/>
                <w:lang w:eastAsia="ru-RU"/>
              </w:rPr>
              <w:t xml:space="preserve"> 426</w:t>
            </w:r>
            <w:r w:rsidRPr="00A96072">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A96072">
              <w:rPr>
                <w:rFonts w:ascii="Times New Roman" w:eastAsia="Times New Roman" w:hAnsi="Times New Roman" w:cs="Times New Roman"/>
                <w:lang w:eastAsia="ru-RU"/>
              </w:rPr>
              <w:t>Один миллион восемьсот тридцать две тысячи четыреста двадцать шесть</w:t>
            </w:r>
            <w:r w:rsidR="00EE635D">
              <w:rPr>
                <w:rFonts w:ascii="Times New Roman" w:eastAsia="Times New Roman" w:hAnsi="Times New Roman" w:cs="Times New Roman"/>
                <w:lang w:eastAsia="ru-RU"/>
              </w:rPr>
              <w:t>)</w:t>
            </w:r>
            <w:r w:rsidRPr="00A96072">
              <w:rPr>
                <w:rFonts w:ascii="Times New Roman" w:eastAsia="Times New Roman" w:hAnsi="Times New Roman" w:cs="Times New Roman"/>
                <w:lang w:eastAsia="ru-RU"/>
              </w:rPr>
              <w:t xml:space="preserve"> рублей 14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8C6C85">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7E3CD5" w:rsidRPr="007E3CD5">
              <w:rPr>
                <w:rFonts w:ascii="Times New Roman" w:eastAsia="Times New Roman" w:hAnsi="Times New Roman" w:cs="Times New Roman"/>
                <w:lang w:eastAsia="ru-RU"/>
              </w:rPr>
              <w:t>1</w:t>
            </w:r>
            <w:r w:rsidR="00EE635D">
              <w:rPr>
                <w:rFonts w:ascii="Times New Roman" w:eastAsia="Times New Roman" w:hAnsi="Times New Roman" w:cs="Times New Roman"/>
                <w:lang w:eastAsia="ru-RU"/>
              </w:rPr>
              <w:t> </w:t>
            </w:r>
            <w:r w:rsidR="007E3CD5" w:rsidRPr="007E3CD5">
              <w:rPr>
                <w:rFonts w:ascii="Times New Roman" w:eastAsia="Times New Roman" w:hAnsi="Times New Roman" w:cs="Times New Roman"/>
                <w:lang w:eastAsia="ru-RU"/>
              </w:rPr>
              <w:t>579</w:t>
            </w:r>
            <w:r w:rsidR="00EE635D">
              <w:rPr>
                <w:rFonts w:ascii="Times New Roman" w:eastAsia="Times New Roman" w:hAnsi="Times New Roman" w:cs="Times New Roman"/>
                <w:lang w:eastAsia="ru-RU"/>
              </w:rPr>
              <w:t xml:space="preserve"> 763</w:t>
            </w:r>
            <w:r w:rsidR="007E3CD5" w:rsidRPr="007E3CD5">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7E3CD5" w:rsidRPr="007E3CD5">
              <w:rPr>
                <w:rFonts w:ascii="Times New Roman" w:eastAsia="Times New Roman" w:hAnsi="Times New Roman" w:cs="Times New Roman"/>
                <w:lang w:eastAsia="ru-RU"/>
              </w:rPr>
              <w:t>Один миллион пятьсот семьдесят девять тысяч семьсот шестьдесят три</w:t>
            </w:r>
            <w:r w:rsidR="00EE635D">
              <w:rPr>
                <w:rFonts w:ascii="Times New Roman" w:eastAsia="Times New Roman" w:hAnsi="Times New Roman" w:cs="Times New Roman"/>
                <w:lang w:eastAsia="ru-RU"/>
              </w:rPr>
              <w:t>)</w:t>
            </w:r>
            <w:r w:rsidR="007E3CD5" w:rsidRPr="007E3CD5">
              <w:rPr>
                <w:rFonts w:ascii="Times New Roman" w:eastAsia="Times New Roman" w:hAnsi="Times New Roman" w:cs="Times New Roman"/>
                <w:lang w:eastAsia="ru-RU"/>
              </w:rPr>
              <w:t xml:space="preserve"> рубля 57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3465CC">
              <w:rPr>
                <w:rFonts w:ascii="Times New Roman" w:eastAsia="Times New Roman" w:hAnsi="Times New Roman" w:cs="Times New Roman"/>
                <w:lang w:eastAsia="ru-RU"/>
              </w:rPr>
              <w:t>10» июля</w:t>
            </w:r>
            <w:r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3465CC">
              <w:rPr>
                <w:rFonts w:ascii="Times New Roman" w:eastAsia="Times New Roman" w:hAnsi="Times New Roman" w:cs="Times New Roman"/>
                <w:lang w:eastAsia="ru-RU"/>
              </w:rPr>
              <w:t>18» июля</w:t>
            </w:r>
            <w:r w:rsidR="005F13C2"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3465CC">
              <w:rPr>
                <w:rFonts w:ascii="Times New Roman" w:eastAsia="Times New Roman" w:hAnsi="Times New Roman" w:cs="Times New Roman"/>
                <w:lang w:eastAsia="ru-RU"/>
              </w:rPr>
              <w:t>21</w:t>
            </w:r>
            <w:r w:rsidRPr="003B61B8">
              <w:rPr>
                <w:rFonts w:ascii="Times New Roman" w:eastAsia="Times New Roman" w:hAnsi="Times New Roman" w:cs="Times New Roman"/>
                <w:lang w:eastAsia="ru-RU"/>
              </w:rPr>
              <w:t xml:space="preserve">» </w:t>
            </w:r>
            <w:r w:rsidR="003465CC">
              <w:rPr>
                <w:rFonts w:ascii="Times New Roman" w:eastAsia="Times New Roman" w:hAnsi="Times New Roman" w:cs="Times New Roman"/>
                <w:lang w:eastAsia="ru-RU"/>
              </w:rPr>
              <w:t>июля</w:t>
            </w:r>
            <w:r w:rsidR="0098600A"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00EE189A">
              <w:rPr>
                <w:rFonts w:ascii="Times New Roman" w:hAnsi="Times New Roman"/>
                <w:b/>
                <w:lang w:eastAsia="ru-RU"/>
              </w:rPr>
              <w:t>. ПРЕ</w:t>
            </w:r>
            <w:r w:rsidRPr="007F2C8D">
              <w:rPr>
                <w:rFonts w:ascii="Times New Roman" w:hAnsi="Times New Roman"/>
                <w:b/>
                <w:lang w:eastAsia="ru-RU"/>
              </w:rPr>
              <w:t>Д</w:t>
            </w:r>
            <w:r w:rsidR="00EE189A">
              <w:rPr>
                <w:rFonts w:ascii="Times New Roman" w:hAnsi="Times New Roman"/>
                <w:b/>
                <w:lang w:eastAsia="ru-RU"/>
              </w:rPr>
              <w:t>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1E080B">
        <w:rPr>
          <w:rFonts w:ascii="Times New Roman" w:eastAsia="Times New Roman" w:hAnsi="Times New Roman" w:cs="Times New Roman"/>
          <w:lang w:eastAsia="ru-RU"/>
        </w:rPr>
        <w:t>10</w:t>
      </w:r>
      <w:r w:rsidRPr="007C7E9F">
        <w:rPr>
          <w:rFonts w:ascii="Times New Roman" w:eastAsia="Times New Roman" w:hAnsi="Times New Roman" w:cs="Times New Roman"/>
          <w:lang w:eastAsia="ru-RU"/>
        </w:rPr>
        <w:t xml:space="preserve">» </w:t>
      </w:r>
      <w:r w:rsidR="001E080B">
        <w:rPr>
          <w:rFonts w:ascii="Times New Roman" w:eastAsia="Times New Roman" w:hAnsi="Times New Roman" w:cs="Times New Roman"/>
          <w:lang w:eastAsia="ru-RU"/>
        </w:rPr>
        <w:t>июля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1E080B">
        <w:rPr>
          <w:rFonts w:ascii="Times New Roman" w:eastAsia="Times New Roman" w:hAnsi="Times New Roman" w:cs="Times New Roman"/>
          <w:lang w:eastAsia="ru-RU"/>
        </w:rPr>
        <w:t>18» июля</w:t>
      </w:r>
      <w:r w:rsidR="0098600A"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1E080B">
        <w:rPr>
          <w:rFonts w:ascii="Times New Roman" w:eastAsia="Times New Roman" w:hAnsi="Times New Roman" w:cs="Times New Roman"/>
          <w:lang w:eastAsia="ru-RU"/>
        </w:rPr>
        <w:t>21» июля</w:t>
      </w:r>
      <w:bookmarkStart w:id="4" w:name="_GoBack"/>
      <w:bookmarkEnd w:id="4"/>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8B3E46" w:rsidRDefault="00842FEE" w:rsidP="008B3E46">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w:t>
      </w:r>
      <w:proofErr w:type="gramStart"/>
      <w:r w:rsidR="00A96072">
        <w:rPr>
          <w:rFonts w:ascii="Times New Roman" w:eastAsia="Times New Roman" w:hAnsi="Times New Roman" w:cs="Times New Roman"/>
          <w:lang w:eastAsia="ru-RU"/>
        </w:rPr>
        <w:t>1</w:t>
      </w:r>
      <w:proofErr w:type="gramEnd"/>
      <w:r w:rsidR="00141950">
        <w:rPr>
          <w:rFonts w:ascii="Times New Roman" w:eastAsia="Times New Roman" w:hAnsi="Times New Roman" w:cs="Times New Roman"/>
          <w:lang w:eastAsia="ru-RU"/>
        </w:rPr>
        <w:t> </w:t>
      </w:r>
      <w:r w:rsidR="00A96072">
        <w:rPr>
          <w:rFonts w:ascii="Times New Roman" w:eastAsia="Times New Roman" w:hAnsi="Times New Roman" w:cs="Times New Roman"/>
          <w:lang w:eastAsia="ru-RU"/>
        </w:rPr>
        <w:t>832</w:t>
      </w:r>
      <w:r w:rsidR="00141950">
        <w:rPr>
          <w:rFonts w:ascii="Times New Roman" w:eastAsia="Times New Roman" w:hAnsi="Times New Roman" w:cs="Times New Roman"/>
          <w:lang w:eastAsia="ru-RU"/>
        </w:rPr>
        <w:t> </w:t>
      </w:r>
      <w:r w:rsidR="00A96072">
        <w:rPr>
          <w:rFonts w:ascii="Times New Roman" w:eastAsia="Times New Roman" w:hAnsi="Times New Roman" w:cs="Times New Roman"/>
          <w:lang w:eastAsia="ru-RU"/>
        </w:rPr>
        <w:t>426</w:t>
      </w:r>
      <w:r w:rsidR="00141950">
        <w:rPr>
          <w:rFonts w:ascii="Times New Roman" w:eastAsia="Times New Roman" w:hAnsi="Times New Roman" w:cs="Times New Roman"/>
          <w:lang w:eastAsia="ru-RU"/>
        </w:rPr>
        <w:t xml:space="preserve"> (</w:t>
      </w:r>
      <w:r w:rsidR="00A96072" w:rsidRPr="00A96072">
        <w:rPr>
          <w:rFonts w:ascii="Times New Roman" w:eastAsia="Times New Roman" w:hAnsi="Times New Roman" w:cs="Times New Roman"/>
          <w:lang w:eastAsia="ru-RU"/>
        </w:rPr>
        <w:t>Один миллион восемьсот тридцать две тысячи четыреста двадцать шесть</w:t>
      </w:r>
      <w:r w:rsidR="00141950">
        <w:rPr>
          <w:rFonts w:ascii="Times New Roman" w:eastAsia="Times New Roman" w:hAnsi="Times New Roman" w:cs="Times New Roman"/>
          <w:lang w:eastAsia="ru-RU"/>
        </w:rPr>
        <w:t>)</w:t>
      </w:r>
      <w:r w:rsidR="00A96072" w:rsidRPr="00A96072">
        <w:rPr>
          <w:rFonts w:ascii="Times New Roman" w:eastAsia="Times New Roman" w:hAnsi="Times New Roman" w:cs="Times New Roman"/>
          <w:lang w:eastAsia="ru-RU"/>
        </w:rPr>
        <w:t xml:space="preserve"> рублей 14 копеек</w:t>
      </w:r>
      <w:r w:rsidR="00A65AE9" w:rsidRPr="00A65AE9">
        <w:rPr>
          <w:rFonts w:ascii="Times New Roman" w:eastAsia="Times New Roman" w:hAnsi="Times New Roman" w:cs="Times New Roman"/>
          <w:lang w:eastAsia="ru-RU"/>
        </w:rPr>
        <w:t>, в том числе НДС (20%</w:t>
      </w:r>
      <w:r w:rsidR="00A65AE9">
        <w:rPr>
          <w:rFonts w:ascii="Times New Roman" w:eastAsia="Times New Roman" w:hAnsi="Times New Roman" w:cs="Times New Roman"/>
          <w:lang w:eastAsia="ru-RU"/>
        </w:rPr>
        <w:t>)</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7E3CD5" w:rsidRPr="007E3CD5">
        <w:rPr>
          <w:rFonts w:ascii="Times New Roman" w:eastAsia="Times New Roman" w:hAnsi="Times New Roman" w:cs="Times New Roman"/>
          <w:lang w:eastAsia="ru-RU"/>
        </w:rPr>
        <w:t>1</w:t>
      </w:r>
      <w:r w:rsidR="00141950">
        <w:rPr>
          <w:rFonts w:ascii="Times New Roman" w:eastAsia="Times New Roman" w:hAnsi="Times New Roman" w:cs="Times New Roman"/>
          <w:lang w:eastAsia="ru-RU"/>
        </w:rPr>
        <w:t> </w:t>
      </w:r>
      <w:r w:rsidR="007E3CD5" w:rsidRPr="007E3CD5">
        <w:rPr>
          <w:rFonts w:ascii="Times New Roman" w:eastAsia="Times New Roman" w:hAnsi="Times New Roman" w:cs="Times New Roman"/>
          <w:lang w:eastAsia="ru-RU"/>
        </w:rPr>
        <w:t>579</w:t>
      </w:r>
      <w:r w:rsidR="00141950">
        <w:rPr>
          <w:rFonts w:ascii="Times New Roman" w:eastAsia="Times New Roman" w:hAnsi="Times New Roman" w:cs="Times New Roman"/>
          <w:lang w:eastAsia="ru-RU"/>
        </w:rPr>
        <w:t xml:space="preserve"> 763 </w:t>
      </w:r>
      <w:r w:rsidR="008B3E46" w:rsidRPr="008B3E46">
        <w:rPr>
          <w:rFonts w:ascii="Times New Roman" w:eastAsia="Times New Roman" w:hAnsi="Times New Roman" w:cs="Times New Roman"/>
          <w:lang w:eastAsia="ru-RU"/>
        </w:rPr>
        <w:t>(</w:t>
      </w:r>
      <w:r w:rsidR="007E3CD5" w:rsidRPr="007E3CD5">
        <w:rPr>
          <w:rFonts w:ascii="Times New Roman" w:eastAsia="Times New Roman" w:hAnsi="Times New Roman" w:cs="Times New Roman"/>
          <w:lang w:eastAsia="ru-RU"/>
        </w:rPr>
        <w:t>Один миллион пятьсот семьдесят девять тысяч семьсот шестьдесят три</w:t>
      </w:r>
      <w:r w:rsidR="00141950">
        <w:rPr>
          <w:rFonts w:ascii="Times New Roman" w:eastAsia="Times New Roman" w:hAnsi="Times New Roman" w:cs="Times New Roman"/>
          <w:lang w:eastAsia="ru-RU"/>
        </w:rPr>
        <w:t>)</w:t>
      </w:r>
      <w:r w:rsidR="007E3CD5" w:rsidRPr="007E3CD5">
        <w:rPr>
          <w:rFonts w:ascii="Times New Roman" w:eastAsia="Times New Roman" w:hAnsi="Times New Roman" w:cs="Times New Roman"/>
          <w:lang w:eastAsia="ru-RU"/>
        </w:rPr>
        <w:t xml:space="preserve"> рубля 57 копеек</w:t>
      </w:r>
    </w:p>
    <w:p w:rsidR="00D3158B" w:rsidRPr="007C7E9F" w:rsidRDefault="00D3158B" w:rsidP="008B3E46">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DF579B">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0368B4" w:rsidP="000368B4">
            <w:pPr>
              <w:ind w:firstLine="0"/>
              <w:rPr>
                <w:rFonts w:ascii="Times New Roman" w:hAnsi="Times New Roman"/>
                <w:color w:val="000000"/>
                <w:sz w:val="22"/>
                <w:szCs w:val="22"/>
              </w:rPr>
            </w:pPr>
            <w:r w:rsidRPr="000368B4">
              <w:rPr>
                <w:rFonts w:ascii="Times New Roman" w:hAnsi="Times New Roman"/>
                <w:color w:val="000000"/>
                <w:sz w:val="22"/>
                <w:szCs w:val="22"/>
              </w:rPr>
              <w:t xml:space="preserve">Капитальный ремонт тепловой сети от ТК №2/177 через ТК №2/178 </w:t>
            </w:r>
            <w:proofErr w:type="gramStart"/>
            <w:r w:rsidRPr="000368B4">
              <w:rPr>
                <w:rFonts w:ascii="Times New Roman" w:hAnsi="Times New Roman"/>
                <w:color w:val="000000"/>
                <w:sz w:val="22"/>
                <w:szCs w:val="22"/>
              </w:rPr>
              <w:t>до ж</w:t>
            </w:r>
            <w:proofErr w:type="gramEnd"/>
            <w:r w:rsidRPr="000368B4">
              <w:rPr>
                <w:rFonts w:ascii="Times New Roman" w:hAnsi="Times New Roman"/>
                <w:color w:val="000000"/>
                <w:sz w:val="22"/>
                <w:szCs w:val="22"/>
              </w:rPr>
              <w:t>.д. Тимирязева 45, 47</w:t>
            </w:r>
          </w:p>
        </w:tc>
        <w:tc>
          <w:tcPr>
            <w:tcW w:w="1418" w:type="dxa"/>
            <w:noWrap/>
            <w:vAlign w:val="center"/>
          </w:tcPr>
          <w:p w:rsidR="00647D31" w:rsidRPr="007C7E9F" w:rsidRDefault="002D2550" w:rsidP="001D1452">
            <w:pPr>
              <w:ind w:firstLine="0"/>
              <w:jc w:val="center"/>
              <w:rPr>
                <w:rFonts w:ascii="Times New Roman" w:hAnsi="Times New Roman"/>
                <w:color w:val="000000"/>
                <w:sz w:val="22"/>
                <w:szCs w:val="22"/>
              </w:rPr>
            </w:pPr>
            <w:r w:rsidRPr="002D2550">
              <w:rPr>
                <w:rFonts w:ascii="Times New Roman" w:hAnsi="Times New Roman"/>
                <w:color w:val="000000"/>
                <w:sz w:val="22"/>
                <w:szCs w:val="22"/>
              </w:rPr>
              <w:t>0</w:t>
            </w:r>
            <w:r w:rsidR="00C87EFD">
              <w:rPr>
                <w:rFonts w:ascii="Times New Roman" w:hAnsi="Times New Roman"/>
                <w:color w:val="000000"/>
                <w:sz w:val="22"/>
                <w:szCs w:val="22"/>
              </w:rPr>
              <w:t>5</w:t>
            </w:r>
            <w:r w:rsidRPr="002D2550">
              <w:rPr>
                <w:rFonts w:ascii="Times New Roman" w:hAnsi="Times New Roman"/>
                <w:color w:val="000000"/>
                <w:sz w:val="22"/>
                <w:szCs w:val="22"/>
              </w:rPr>
              <w:t>.01.25</w:t>
            </w:r>
          </w:p>
        </w:tc>
        <w:tc>
          <w:tcPr>
            <w:tcW w:w="1559" w:type="dxa"/>
            <w:noWrap/>
            <w:vAlign w:val="center"/>
          </w:tcPr>
          <w:p w:rsidR="00647D31" w:rsidRPr="007C7E9F" w:rsidRDefault="007E3CD5" w:rsidP="004E76DC">
            <w:pPr>
              <w:ind w:firstLine="0"/>
              <w:jc w:val="center"/>
              <w:rPr>
                <w:rFonts w:ascii="Times New Roman" w:hAnsi="Times New Roman"/>
                <w:sz w:val="22"/>
                <w:szCs w:val="22"/>
              </w:rPr>
            </w:pPr>
            <w:r w:rsidRPr="007E3CD5">
              <w:rPr>
                <w:rFonts w:ascii="Times New Roman" w:hAnsi="Times New Roman"/>
                <w:sz w:val="22"/>
                <w:szCs w:val="22"/>
              </w:rPr>
              <w:t>1</w:t>
            </w:r>
            <w:r w:rsidR="00D9792D">
              <w:rPr>
                <w:rFonts w:ascii="Times New Roman" w:hAnsi="Times New Roman"/>
                <w:sz w:val="22"/>
                <w:szCs w:val="22"/>
              </w:rPr>
              <w:t> </w:t>
            </w:r>
            <w:r w:rsidRPr="007E3CD5">
              <w:rPr>
                <w:rFonts w:ascii="Times New Roman" w:hAnsi="Times New Roman"/>
                <w:sz w:val="22"/>
                <w:szCs w:val="22"/>
              </w:rPr>
              <w:t>579</w:t>
            </w:r>
            <w:r w:rsidR="00D9792D">
              <w:rPr>
                <w:rFonts w:ascii="Times New Roman" w:hAnsi="Times New Roman"/>
                <w:sz w:val="22"/>
                <w:szCs w:val="22"/>
              </w:rPr>
              <w:t xml:space="preserve"> </w:t>
            </w:r>
            <w:r w:rsidRPr="007E3CD5">
              <w:rPr>
                <w:rFonts w:ascii="Times New Roman" w:hAnsi="Times New Roman"/>
                <w:sz w:val="22"/>
                <w:szCs w:val="22"/>
              </w:rPr>
              <w:t>763,57</w:t>
            </w:r>
          </w:p>
        </w:tc>
        <w:tc>
          <w:tcPr>
            <w:tcW w:w="1560" w:type="dxa"/>
            <w:noWrap/>
            <w:vAlign w:val="center"/>
          </w:tcPr>
          <w:p w:rsidR="00647D31" w:rsidRPr="007C7E9F" w:rsidRDefault="00A96072" w:rsidP="004E76DC">
            <w:pPr>
              <w:ind w:firstLine="0"/>
              <w:jc w:val="center"/>
              <w:rPr>
                <w:rFonts w:ascii="Times New Roman" w:hAnsi="Times New Roman"/>
                <w:color w:val="000000"/>
                <w:sz w:val="22"/>
                <w:szCs w:val="22"/>
              </w:rPr>
            </w:pPr>
            <w:r w:rsidRPr="00A96072">
              <w:rPr>
                <w:rFonts w:ascii="Times New Roman" w:hAnsi="Times New Roman"/>
                <w:color w:val="000000"/>
                <w:sz w:val="22"/>
                <w:szCs w:val="22"/>
              </w:rPr>
              <w:t>1</w:t>
            </w:r>
            <w:r w:rsidR="00D9792D">
              <w:rPr>
                <w:rFonts w:ascii="Times New Roman" w:hAnsi="Times New Roman"/>
                <w:color w:val="000000"/>
                <w:sz w:val="22"/>
                <w:szCs w:val="22"/>
              </w:rPr>
              <w:t> </w:t>
            </w:r>
            <w:r w:rsidRPr="00A96072">
              <w:rPr>
                <w:rFonts w:ascii="Times New Roman" w:hAnsi="Times New Roman"/>
                <w:color w:val="000000"/>
                <w:sz w:val="22"/>
                <w:szCs w:val="22"/>
              </w:rPr>
              <w:t>832</w:t>
            </w:r>
            <w:r w:rsidR="00D9792D">
              <w:rPr>
                <w:rFonts w:ascii="Times New Roman" w:hAnsi="Times New Roman"/>
                <w:color w:val="000000"/>
                <w:sz w:val="22"/>
                <w:szCs w:val="22"/>
              </w:rPr>
              <w:t xml:space="preserve"> </w:t>
            </w:r>
            <w:r w:rsidRPr="00A96072">
              <w:rPr>
                <w:rFonts w:ascii="Times New Roman" w:hAnsi="Times New Roman"/>
                <w:color w:val="000000"/>
                <w:sz w:val="22"/>
                <w:szCs w:val="22"/>
              </w:rPr>
              <w:t>426,14</w:t>
            </w:r>
          </w:p>
        </w:tc>
      </w:tr>
    </w:tbl>
    <w:p w:rsidR="00A24979" w:rsidRDefault="00A24979"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4E76DC">
      <w:pPr>
        <w:spacing w:after="0" w:line="240" w:lineRule="auto"/>
        <w:jc w:val="both"/>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Размер обеспечения и</w:t>
      </w:r>
      <w:r w:rsidR="00757ED7">
        <w:rPr>
          <w:rFonts w:ascii="Times New Roman" w:eastAsia="Times New Roman" w:hAnsi="Times New Roman" w:cs="Times New Roman"/>
          <w:lang w:eastAsia="ru-RU"/>
        </w:rPr>
        <w:t>сполнения договора составляет 15</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A96072" w:rsidRPr="00A96072">
        <w:rPr>
          <w:rFonts w:ascii="Times New Roman" w:eastAsia="Times New Roman" w:hAnsi="Times New Roman" w:cs="Times New Roman"/>
          <w:lang w:eastAsia="ru-RU"/>
        </w:rPr>
        <w:t>274</w:t>
      </w:r>
      <w:r w:rsidR="00EC61F1">
        <w:rPr>
          <w:rFonts w:ascii="Times New Roman" w:eastAsia="Times New Roman" w:hAnsi="Times New Roman" w:cs="Times New Roman"/>
          <w:lang w:eastAsia="ru-RU"/>
        </w:rPr>
        <w:t xml:space="preserve"> 863</w:t>
      </w:r>
      <w:r w:rsidR="00A96072" w:rsidRPr="00A96072">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A96072" w:rsidRPr="00A96072">
        <w:rPr>
          <w:rFonts w:ascii="Times New Roman" w:eastAsia="Times New Roman" w:hAnsi="Times New Roman" w:cs="Times New Roman"/>
          <w:lang w:eastAsia="ru-RU"/>
        </w:rPr>
        <w:t>Двести семьдесят четыре тысячи восемьсот шестьдесят три</w:t>
      </w:r>
      <w:r w:rsidR="00EC61F1">
        <w:rPr>
          <w:rFonts w:ascii="Times New Roman" w:eastAsia="Times New Roman" w:hAnsi="Times New Roman" w:cs="Times New Roman"/>
          <w:lang w:eastAsia="ru-RU"/>
        </w:rPr>
        <w:t>)</w:t>
      </w:r>
      <w:r w:rsidR="00A96072" w:rsidRPr="00A96072">
        <w:rPr>
          <w:rFonts w:ascii="Times New Roman" w:eastAsia="Times New Roman" w:hAnsi="Times New Roman" w:cs="Times New Roman"/>
          <w:lang w:eastAsia="ru-RU"/>
        </w:rPr>
        <w:t xml:space="preserve"> рубля 92 копейки</w:t>
      </w:r>
      <w:r w:rsidR="00322F6B">
        <w:rPr>
          <w:rFonts w:ascii="Times New Roman" w:eastAsia="Times New Roman" w:hAnsi="Times New Roman" w:cs="Times New Roman"/>
          <w:lang w:eastAsia="ru-RU"/>
        </w:rPr>
        <w:t>.</w:t>
      </w:r>
    </w:p>
    <w:p w:rsidR="0078555A" w:rsidRPr="003B61B8" w:rsidRDefault="0078555A" w:rsidP="004E76DC">
      <w:pPr>
        <w:shd w:val="clear" w:color="auto" w:fill="FDFDFD"/>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ar-SA"/>
        </w:rPr>
        <w:t xml:space="preserve">Обеспечение исполнения договора </w:t>
      </w:r>
      <w:r w:rsidR="00B7058C" w:rsidRPr="00B7058C">
        <w:rPr>
          <w:rFonts w:ascii="Times New Roman" w:eastAsia="Times New Roman" w:hAnsi="Times New Roman" w:cs="Times New Roman"/>
          <w:lang w:eastAsia="ar-SA"/>
        </w:rPr>
        <w:t>на выполнение работ по капитальному ремонту тепловой сети от ТК №2/177 через ТК №2/178 до ж.д. Тимирязева 45, 47</w:t>
      </w:r>
      <w:r w:rsidR="00B7058C">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BD570D">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w:t>
      </w:r>
      <w:r w:rsidR="00B7058C" w:rsidRPr="00B7058C">
        <w:rPr>
          <w:rFonts w:ascii="Times New Roman" w:eastAsia="Times New Roman" w:hAnsi="Times New Roman" w:cs="Times New Roman"/>
          <w:i/>
          <w:kern w:val="16"/>
          <w:lang w:eastAsia="ar-SA"/>
        </w:rPr>
        <w:t>на выполнение работ по капитальному ремонту тепловой сети от ТК №2/177 через ТК №2/178 до ж.д. Тимирязева 45, 47</w:t>
      </w:r>
      <w:r w:rsidR="006B0471">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8C6C85" w:rsidRPr="0072336B"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C6C85"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2336B">
        <w:rPr>
          <w:rFonts w:ascii="Times New Roman" w:eastAsia="Times New Roman" w:hAnsi="Times New Roman" w:cs="Times New Roman"/>
          <w:lang w:eastAsia="ru-RU"/>
        </w:rPr>
        <w:t>контроле за</w:t>
      </w:r>
      <w:proofErr w:type="gramEnd"/>
      <w:r w:rsidRPr="0072336B">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2117" w:rsidRPr="004034FD"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w:t>
      </w:r>
      <w:r w:rsidRPr="007C7E9F">
        <w:rPr>
          <w:rFonts w:ascii="Times New Roman" w:eastAsia="Times New Roman" w:hAnsi="Times New Roman" w:cs="Times New Roman"/>
          <w:bCs/>
          <w:lang w:eastAsia="ru-RU"/>
        </w:rPr>
        <w:lastRenderedPageBreak/>
        <w:t>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83CCC" w:rsidRDefault="00183CC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w:t>
      </w:r>
      <w:r w:rsidRPr="00FA3DB5">
        <w:rPr>
          <w:rFonts w:ascii="Times New Roman" w:eastAsia="Times New Roman" w:hAnsi="Times New Roman" w:cs="Times New Roman"/>
          <w:kern w:val="1"/>
          <w:lang w:eastAsia="ar-SA"/>
        </w:rPr>
        <w:lastRenderedPageBreak/>
        <w:t>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83CCC" w:rsidRPr="00FA3DB5"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Pr="00FA3DB5" w:rsidRDefault="00183CCC" w:rsidP="00183CC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3CCC" w:rsidRPr="00FA3DB5" w:rsidRDefault="00183CCC" w:rsidP="00183CCC">
      <w:pPr>
        <w:autoSpaceDE w:val="0"/>
        <w:autoSpaceDN w:val="0"/>
        <w:adjustRightInd w:val="0"/>
        <w:spacing w:after="0" w:line="240" w:lineRule="auto"/>
        <w:jc w:val="both"/>
        <w:rPr>
          <w:rFonts w:ascii="Times New Roman" w:eastAsia="Times New Roman" w:hAnsi="Times New Roman" w:cs="Times New Roman"/>
          <w:b/>
          <w:lang w:eastAsia="ru-RU"/>
        </w:rPr>
      </w:pPr>
    </w:p>
    <w:p w:rsidR="00183CCC" w:rsidRPr="007C7E9F" w:rsidRDefault="00183CCC" w:rsidP="004E76DC">
      <w:pPr>
        <w:autoSpaceDE w:val="0"/>
        <w:autoSpaceDN w:val="0"/>
        <w:adjustRightInd w:val="0"/>
        <w:spacing w:after="0" w:line="240" w:lineRule="auto"/>
        <w:jc w:val="both"/>
        <w:rPr>
          <w:rFonts w:ascii="Times New Roman" w:hAnsi="Times New Roman" w:cs="Times New Roman"/>
          <w:shd w:val="clear" w:color="auto" w:fill="FFFFFF"/>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183CCC">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E080B">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1E080B">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292F"/>
    <w:rsid w:val="0000455F"/>
    <w:rsid w:val="00014F85"/>
    <w:rsid w:val="000176CD"/>
    <w:rsid w:val="000255BC"/>
    <w:rsid w:val="000306FB"/>
    <w:rsid w:val="0003103F"/>
    <w:rsid w:val="0003314A"/>
    <w:rsid w:val="00033F31"/>
    <w:rsid w:val="00035177"/>
    <w:rsid w:val="00035AD1"/>
    <w:rsid w:val="000368B4"/>
    <w:rsid w:val="00036E82"/>
    <w:rsid w:val="0004149E"/>
    <w:rsid w:val="00045A04"/>
    <w:rsid w:val="0005721C"/>
    <w:rsid w:val="00063873"/>
    <w:rsid w:val="00070C23"/>
    <w:rsid w:val="00074B32"/>
    <w:rsid w:val="000808B5"/>
    <w:rsid w:val="00080AE9"/>
    <w:rsid w:val="000818B4"/>
    <w:rsid w:val="000860FB"/>
    <w:rsid w:val="000B141B"/>
    <w:rsid w:val="000C30FC"/>
    <w:rsid w:val="000C4C9D"/>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1950"/>
    <w:rsid w:val="001448BE"/>
    <w:rsid w:val="00160121"/>
    <w:rsid w:val="001733E0"/>
    <w:rsid w:val="00175416"/>
    <w:rsid w:val="0017659D"/>
    <w:rsid w:val="00177189"/>
    <w:rsid w:val="00180A8E"/>
    <w:rsid w:val="00183CCC"/>
    <w:rsid w:val="00192C4D"/>
    <w:rsid w:val="00194F70"/>
    <w:rsid w:val="00196B57"/>
    <w:rsid w:val="001A50AA"/>
    <w:rsid w:val="001A50AC"/>
    <w:rsid w:val="001A6F3F"/>
    <w:rsid w:val="001B10CB"/>
    <w:rsid w:val="001B4B69"/>
    <w:rsid w:val="001B7650"/>
    <w:rsid w:val="001C79A8"/>
    <w:rsid w:val="001D1452"/>
    <w:rsid w:val="001D2959"/>
    <w:rsid w:val="001D2FED"/>
    <w:rsid w:val="001D3A41"/>
    <w:rsid w:val="001D5C79"/>
    <w:rsid w:val="001E080B"/>
    <w:rsid w:val="001E1B7A"/>
    <w:rsid w:val="001E3CB3"/>
    <w:rsid w:val="001F04C3"/>
    <w:rsid w:val="001F31B9"/>
    <w:rsid w:val="0020010C"/>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4791"/>
    <w:rsid w:val="00265967"/>
    <w:rsid w:val="00270392"/>
    <w:rsid w:val="00272DFA"/>
    <w:rsid w:val="00272EB0"/>
    <w:rsid w:val="0027501C"/>
    <w:rsid w:val="002804C0"/>
    <w:rsid w:val="00284F0C"/>
    <w:rsid w:val="0029068D"/>
    <w:rsid w:val="00292EB5"/>
    <w:rsid w:val="002936D2"/>
    <w:rsid w:val="002965ED"/>
    <w:rsid w:val="0029745D"/>
    <w:rsid w:val="002A1D68"/>
    <w:rsid w:val="002A2C28"/>
    <w:rsid w:val="002B3D6D"/>
    <w:rsid w:val="002B4AF8"/>
    <w:rsid w:val="002B7371"/>
    <w:rsid w:val="002C3566"/>
    <w:rsid w:val="002C7312"/>
    <w:rsid w:val="002D2550"/>
    <w:rsid w:val="002D7A47"/>
    <w:rsid w:val="002E0290"/>
    <w:rsid w:val="002E55B6"/>
    <w:rsid w:val="002E5742"/>
    <w:rsid w:val="00300794"/>
    <w:rsid w:val="003049B8"/>
    <w:rsid w:val="00307592"/>
    <w:rsid w:val="00314493"/>
    <w:rsid w:val="00315600"/>
    <w:rsid w:val="00315EAD"/>
    <w:rsid w:val="00316D13"/>
    <w:rsid w:val="0031793E"/>
    <w:rsid w:val="00322F6B"/>
    <w:rsid w:val="00326E0E"/>
    <w:rsid w:val="0033168E"/>
    <w:rsid w:val="0033358E"/>
    <w:rsid w:val="00335F60"/>
    <w:rsid w:val="00337E75"/>
    <w:rsid w:val="003465CC"/>
    <w:rsid w:val="0035535D"/>
    <w:rsid w:val="003752DE"/>
    <w:rsid w:val="0039538A"/>
    <w:rsid w:val="003B5937"/>
    <w:rsid w:val="003B61B8"/>
    <w:rsid w:val="003C0F97"/>
    <w:rsid w:val="003C1A0F"/>
    <w:rsid w:val="003C252E"/>
    <w:rsid w:val="003D066C"/>
    <w:rsid w:val="003D0C58"/>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166B"/>
    <w:rsid w:val="00452787"/>
    <w:rsid w:val="00455124"/>
    <w:rsid w:val="004648AC"/>
    <w:rsid w:val="00464C9E"/>
    <w:rsid w:val="004716FA"/>
    <w:rsid w:val="00474818"/>
    <w:rsid w:val="00477B8C"/>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045A"/>
    <w:rsid w:val="00502FA8"/>
    <w:rsid w:val="00503752"/>
    <w:rsid w:val="00504711"/>
    <w:rsid w:val="0050476C"/>
    <w:rsid w:val="00506FA3"/>
    <w:rsid w:val="00514BBB"/>
    <w:rsid w:val="005220C2"/>
    <w:rsid w:val="00524C1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3D2A"/>
    <w:rsid w:val="00624407"/>
    <w:rsid w:val="006262F3"/>
    <w:rsid w:val="00634756"/>
    <w:rsid w:val="006357FF"/>
    <w:rsid w:val="00642117"/>
    <w:rsid w:val="006453A2"/>
    <w:rsid w:val="00645BBB"/>
    <w:rsid w:val="00647D31"/>
    <w:rsid w:val="0065349E"/>
    <w:rsid w:val="00660C97"/>
    <w:rsid w:val="00662DC2"/>
    <w:rsid w:val="00665EA0"/>
    <w:rsid w:val="00674BB8"/>
    <w:rsid w:val="0067598A"/>
    <w:rsid w:val="00680811"/>
    <w:rsid w:val="006826BF"/>
    <w:rsid w:val="00693C0D"/>
    <w:rsid w:val="00697C7F"/>
    <w:rsid w:val="006B0471"/>
    <w:rsid w:val="006B091F"/>
    <w:rsid w:val="006B4640"/>
    <w:rsid w:val="006B52D6"/>
    <w:rsid w:val="006C669D"/>
    <w:rsid w:val="006E2569"/>
    <w:rsid w:val="006E67A2"/>
    <w:rsid w:val="006F10A4"/>
    <w:rsid w:val="00712DB0"/>
    <w:rsid w:val="00717FE5"/>
    <w:rsid w:val="00725CBC"/>
    <w:rsid w:val="0073009D"/>
    <w:rsid w:val="00742416"/>
    <w:rsid w:val="007424C2"/>
    <w:rsid w:val="00742983"/>
    <w:rsid w:val="007448B3"/>
    <w:rsid w:val="0074573D"/>
    <w:rsid w:val="00750120"/>
    <w:rsid w:val="00753EBE"/>
    <w:rsid w:val="00757ED7"/>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3CD5"/>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7525"/>
    <w:rsid w:val="008B342A"/>
    <w:rsid w:val="008B3E46"/>
    <w:rsid w:val="008C6C85"/>
    <w:rsid w:val="008D3150"/>
    <w:rsid w:val="008D354D"/>
    <w:rsid w:val="008D481D"/>
    <w:rsid w:val="008E0FBB"/>
    <w:rsid w:val="008E1491"/>
    <w:rsid w:val="008E20E9"/>
    <w:rsid w:val="008F01D5"/>
    <w:rsid w:val="008F26E8"/>
    <w:rsid w:val="008F38AA"/>
    <w:rsid w:val="008F659C"/>
    <w:rsid w:val="0090137B"/>
    <w:rsid w:val="00910255"/>
    <w:rsid w:val="00913D7B"/>
    <w:rsid w:val="009179B6"/>
    <w:rsid w:val="00922DA9"/>
    <w:rsid w:val="0093280B"/>
    <w:rsid w:val="009353D0"/>
    <w:rsid w:val="0093557B"/>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4979"/>
    <w:rsid w:val="00A2616F"/>
    <w:rsid w:val="00A26C6A"/>
    <w:rsid w:val="00A36AE8"/>
    <w:rsid w:val="00A40053"/>
    <w:rsid w:val="00A4080B"/>
    <w:rsid w:val="00A41E58"/>
    <w:rsid w:val="00A4310C"/>
    <w:rsid w:val="00A44E43"/>
    <w:rsid w:val="00A51966"/>
    <w:rsid w:val="00A52F91"/>
    <w:rsid w:val="00A65AE9"/>
    <w:rsid w:val="00A75C28"/>
    <w:rsid w:val="00A82B7E"/>
    <w:rsid w:val="00A856BF"/>
    <w:rsid w:val="00A872A7"/>
    <w:rsid w:val="00A947AB"/>
    <w:rsid w:val="00A96072"/>
    <w:rsid w:val="00A97B58"/>
    <w:rsid w:val="00AA2D28"/>
    <w:rsid w:val="00AA31FA"/>
    <w:rsid w:val="00AA79D4"/>
    <w:rsid w:val="00AB3285"/>
    <w:rsid w:val="00AB3512"/>
    <w:rsid w:val="00AC6019"/>
    <w:rsid w:val="00AC6520"/>
    <w:rsid w:val="00AD2703"/>
    <w:rsid w:val="00AD45E6"/>
    <w:rsid w:val="00AD4782"/>
    <w:rsid w:val="00AE2D70"/>
    <w:rsid w:val="00AE3608"/>
    <w:rsid w:val="00AF0BAD"/>
    <w:rsid w:val="00AF0FB4"/>
    <w:rsid w:val="00AF7E88"/>
    <w:rsid w:val="00B02BDA"/>
    <w:rsid w:val="00B0592C"/>
    <w:rsid w:val="00B167D9"/>
    <w:rsid w:val="00B26EF9"/>
    <w:rsid w:val="00B2707D"/>
    <w:rsid w:val="00B340FF"/>
    <w:rsid w:val="00B36B07"/>
    <w:rsid w:val="00B431E3"/>
    <w:rsid w:val="00B4522A"/>
    <w:rsid w:val="00B45DE4"/>
    <w:rsid w:val="00B46F71"/>
    <w:rsid w:val="00B50A7C"/>
    <w:rsid w:val="00B561CD"/>
    <w:rsid w:val="00B64436"/>
    <w:rsid w:val="00B65F7F"/>
    <w:rsid w:val="00B67C76"/>
    <w:rsid w:val="00B67FDF"/>
    <w:rsid w:val="00B70308"/>
    <w:rsid w:val="00B7058C"/>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570D"/>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602"/>
    <w:rsid w:val="00C37C9D"/>
    <w:rsid w:val="00C41005"/>
    <w:rsid w:val="00C4300D"/>
    <w:rsid w:val="00C43F8B"/>
    <w:rsid w:val="00C44553"/>
    <w:rsid w:val="00C446F5"/>
    <w:rsid w:val="00C541B8"/>
    <w:rsid w:val="00C6316B"/>
    <w:rsid w:val="00C67A27"/>
    <w:rsid w:val="00C7550D"/>
    <w:rsid w:val="00C776C7"/>
    <w:rsid w:val="00C801E9"/>
    <w:rsid w:val="00C87EFD"/>
    <w:rsid w:val="00C95F01"/>
    <w:rsid w:val="00C96827"/>
    <w:rsid w:val="00CA7C4D"/>
    <w:rsid w:val="00CB33B0"/>
    <w:rsid w:val="00CB3E9B"/>
    <w:rsid w:val="00CC0360"/>
    <w:rsid w:val="00CD5619"/>
    <w:rsid w:val="00CE1248"/>
    <w:rsid w:val="00CE305C"/>
    <w:rsid w:val="00CE7A93"/>
    <w:rsid w:val="00CF1958"/>
    <w:rsid w:val="00CF3137"/>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55A5"/>
    <w:rsid w:val="00D966FA"/>
    <w:rsid w:val="00D9792D"/>
    <w:rsid w:val="00DA3C58"/>
    <w:rsid w:val="00DB25B4"/>
    <w:rsid w:val="00DB3816"/>
    <w:rsid w:val="00DB5936"/>
    <w:rsid w:val="00DB6F85"/>
    <w:rsid w:val="00DC69CF"/>
    <w:rsid w:val="00DD4412"/>
    <w:rsid w:val="00DD57B1"/>
    <w:rsid w:val="00DD71F2"/>
    <w:rsid w:val="00DD76BB"/>
    <w:rsid w:val="00DE05A4"/>
    <w:rsid w:val="00DF149C"/>
    <w:rsid w:val="00DF213D"/>
    <w:rsid w:val="00DF33CF"/>
    <w:rsid w:val="00DF579B"/>
    <w:rsid w:val="00E0002A"/>
    <w:rsid w:val="00E01A29"/>
    <w:rsid w:val="00E047A9"/>
    <w:rsid w:val="00E0690A"/>
    <w:rsid w:val="00E125D6"/>
    <w:rsid w:val="00E145DB"/>
    <w:rsid w:val="00E26E3F"/>
    <w:rsid w:val="00E33616"/>
    <w:rsid w:val="00E3393D"/>
    <w:rsid w:val="00E37279"/>
    <w:rsid w:val="00E470C5"/>
    <w:rsid w:val="00E6220B"/>
    <w:rsid w:val="00E63BA4"/>
    <w:rsid w:val="00E65D23"/>
    <w:rsid w:val="00E727FB"/>
    <w:rsid w:val="00E742D6"/>
    <w:rsid w:val="00E74FEF"/>
    <w:rsid w:val="00E85F5B"/>
    <w:rsid w:val="00E90B1F"/>
    <w:rsid w:val="00E95B3B"/>
    <w:rsid w:val="00EA0B03"/>
    <w:rsid w:val="00EA0B9B"/>
    <w:rsid w:val="00EA709F"/>
    <w:rsid w:val="00EA7528"/>
    <w:rsid w:val="00EA75E5"/>
    <w:rsid w:val="00EB667D"/>
    <w:rsid w:val="00EC61F1"/>
    <w:rsid w:val="00EE189A"/>
    <w:rsid w:val="00EE635D"/>
    <w:rsid w:val="00EF212A"/>
    <w:rsid w:val="00EF49B9"/>
    <w:rsid w:val="00F14B69"/>
    <w:rsid w:val="00F20B96"/>
    <w:rsid w:val="00F244C2"/>
    <w:rsid w:val="00F2457D"/>
    <w:rsid w:val="00F30A47"/>
    <w:rsid w:val="00F32134"/>
    <w:rsid w:val="00F326F5"/>
    <w:rsid w:val="00F3451C"/>
    <w:rsid w:val="00F34B66"/>
    <w:rsid w:val="00F45FCF"/>
    <w:rsid w:val="00F479D7"/>
    <w:rsid w:val="00F551B6"/>
    <w:rsid w:val="00F61521"/>
    <w:rsid w:val="00F6451C"/>
    <w:rsid w:val="00F65847"/>
    <w:rsid w:val="00F6624E"/>
    <w:rsid w:val="00F706AA"/>
    <w:rsid w:val="00F729B4"/>
    <w:rsid w:val="00F7367E"/>
    <w:rsid w:val="00F743C9"/>
    <w:rsid w:val="00F8035D"/>
    <w:rsid w:val="00F80A82"/>
    <w:rsid w:val="00F8132B"/>
    <w:rsid w:val="00F8222C"/>
    <w:rsid w:val="00F85179"/>
    <w:rsid w:val="00F87925"/>
    <w:rsid w:val="00F91C81"/>
    <w:rsid w:val="00F9394F"/>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B111633-D95F-4380-A295-83F89604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9</Pages>
  <Words>5327</Words>
  <Characters>30364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268</cp:revision>
  <cp:lastPrinted>2020-06-17T11:01:00Z</cp:lastPrinted>
  <dcterms:created xsi:type="dcterms:W3CDTF">2021-05-28T09:06:00Z</dcterms:created>
  <dcterms:modified xsi:type="dcterms:W3CDTF">2025-07-10T08:57:00Z</dcterms:modified>
</cp:coreProperties>
</file>