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3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ДОГОВОР ПОСТАВКИ № 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83"/>
        <w:pBdr/>
        <w:spacing/>
        <w:ind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  <w:tab/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г. Нижний Тагил                                                                                   </w:t>
      </w:r>
      <w:r>
        <w:rPr>
          <w:sz w:val="20"/>
          <w:szCs w:val="20"/>
        </w:rPr>
        <w:tab/>
        <w:tab/>
        <w:tab/>
      </w:r>
      <w:r>
        <w:rPr>
          <w:sz w:val="20"/>
          <w:szCs w:val="20"/>
        </w:rPr>
        <w:tab/>
        <w:tab/>
        <w:tab/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</w:t>
      </w:r>
      <w:r>
        <w:rPr>
          <w:sz w:val="20"/>
          <w:szCs w:val="20"/>
          <w:lang w:val="ru-RU"/>
        </w:rPr>
        <w:t xml:space="preserve">5</w:t>
      </w:r>
      <w:r>
        <w:rPr>
          <w:sz w:val="20"/>
          <w:szCs w:val="20"/>
        </w:rPr>
        <w:t xml:space="preserve">г.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b/>
          <w:sz w:val="20"/>
          <w:szCs w:val="20"/>
        </w:rPr>
        <w:t xml:space="preserve">_______________________</w:t>
      </w:r>
      <w:r>
        <w:rPr>
          <w:b/>
          <w:sz w:val="20"/>
          <w:szCs w:val="20"/>
        </w:rPr>
        <w:t xml:space="preserve">,</w:t>
      </w:r>
      <w:r>
        <w:rPr>
          <w:sz w:val="20"/>
          <w:szCs w:val="20"/>
        </w:rPr>
        <w:t xml:space="preserve"> именуемое в дальнейшем «Поставщик», в лице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Устава,</w:t>
      </w:r>
      <w:r>
        <w:rPr>
          <w:sz w:val="20"/>
          <w:szCs w:val="20"/>
        </w:rPr>
        <w:t xml:space="preserve"> с одной стороны, и</w:t>
      </w:r>
      <w:r>
        <w:rPr>
          <w:sz w:val="20"/>
          <w:szCs w:val="20"/>
        </w:rPr>
        <w:t xml:space="preserve"> Общество с ограниченной ответственностью «Райкомхоз-теплосети»</w:t>
      </w:r>
      <w:r>
        <w:rPr>
          <w:sz w:val="20"/>
          <w:szCs w:val="20"/>
        </w:rPr>
        <w:t xml:space="preserve">, именуемое в дальнейшем «Покупатель», в лице директора </w:t>
      </w:r>
      <w:r>
        <w:rPr>
          <w:sz w:val="20"/>
          <w:szCs w:val="20"/>
        </w:rPr>
        <w:t xml:space="preserve">Антипова Анатолия Сергеевича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</w:t>
      </w:r>
      <w:r>
        <w:rPr>
          <w:sz w:val="20"/>
          <w:szCs w:val="20"/>
        </w:rPr>
        <w:t xml:space="preserve">, с другой стороны, заключили настоящий договор о нижеследующем: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1. ПРЕДМЕТ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6"/>
        <w:widowControl w:val="tru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1. Поставщик</w:t>
      </w:r>
      <w:r>
        <w:rPr>
          <w:rFonts w:ascii="Times New Roman" w:hAnsi="Times New Roman" w:cs="Times New Roman"/>
          <w:sz w:val="20"/>
          <w:szCs w:val="20"/>
        </w:rPr>
        <w:t xml:space="preserve"> на условиях, предусмотренных настоящим договором, обязуется передать в собственность Покупателя продукцию, а Покупатель обязуется оплатить и обеспечить приемку продукции согласно условиям настоящего договора.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6"/>
        <w:widowControl w:val="true"/>
        <w:pBdr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2. Стороны</w:t>
      </w:r>
      <w:r>
        <w:rPr>
          <w:rFonts w:ascii="Times New Roman" w:hAnsi="Times New Roman" w:cs="Times New Roman"/>
          <w:sz w:val="20"/>
          <w:szCs w:val="20"/>
        </w:rPr>
        <w:t xml:space="preserve"> согласовывают наименование, ассортимент, сроки и условия поставки, количество и цену подлежащей поставке продукции, сроки и условия </w:t>
      </w:r>
      <w:r>
        <w:rPr>
          <w:rFonts w:ascii="Times New Roman" w:hAnsi="Times New Roman" w:cs="Times New Roman"/>
          <w:sz w:val="20"/>
          <w:szCs w:val="20"/>
        </w:rPr>
        <w:t xml:space="preserve">оплаты в</w:t>
      </w:r>
      <w:r>
        <w:rPr>
          <w:rFonts w:ascii="Times New Roman" w:hAnsi="Times New Roman" w:cs="Times New Roman"/>
          <w:sz w:val="20"/>
          <w:szCs w:val="20"/>
        </w:rPr>
        <w:t xml:space="preserve"> Спецификации (</w:t>
      </w:r>
      <w:r>
        <w:rPr>
          <w:rFonts w:ascii="Times New Roman" w:hAnsi="Times New Roman" w:cs="Times New Roman"/>
          <w:sz w:val="20"/>
          <w:szCs w:val="20"/>
        </w:rPr>
        <w:t xml:space="preserve">Спецификациях) к</w:t>
      </w:r>
      <w:r>
        <w:rPr>
          <w:rFonts w:ascii="Times New Roman" w:hAnsi="Times New Roman" w:cs="Times New Roman"/>
          <w:sz w:val="20"/>
          <w:szCs w:val="20"/>
        </w:rPr>
        <w:t xml:space="preserve"> настоящему договору, являющихся его неотъемлемой частью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.</w:t>
      </w:r>
      <w:r>
        <w:rPr>
          <w:rFonts w:ascii="Times New Roman" w:hAnsi="Times New Roman" w:cs="Times New Roman"/>
          <w:spacing w:val="-1"/>
          <w:sz w:val="20"/>
          <w:szCs w:val="20"/>
        </w:rPr>
      </w:r>
      <w:r>
        <w:rPr>
          <w:rFonts w:ascii="Times New Roman" w:hAnsi="Times New Roman" w:cs="Times New Roman"/>
          <w:spacing w:val="-1"/>
          <w:sz w:val="20"/>
          <w:szCs w:val="20"/>
        </w:rPr>
      </w:r>
    </w:p>
    <w:p>
      <w:pPr>
        <w:pStyle w:val="896"/>
        <w:widowControl w:val="tru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1.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3. Если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условия Спецификации противоречат условиям настоящего договора, то применяются условия Спецификации.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2. КАЧЕСТВО И КОЛИЧЕСТВО ПРОДУКЦИИ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2.1. Качество продукции, поставляемой по договору, должно соответствовать требованиям действующих стандартов, научно-технической документации и удостоверяться сертификатом качества или иным документом, подтверждающим ее качество.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tabs>
          <w:tab w:val="left" w:leader="none" w:pos="1080"/>
        </w:tabs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2.2.</w:t>
        <w:tab/>
        <w:t xml:space="preserve">Сертификат качества направляется Покупателю (вместе со счетом-фактурой) не </w:t>
      </w:r>
      <w:r>
        <w:rPr>
          <w:sz w:val="20"/>
          <w:szCs w:val="20"/>
        </w:rPr>
        <w:t xml:space="preserve">позднее 5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пяти</w:t>
      </w:r>
      <w:r>
        <w:rPr>
          <w:sz w:val="20"/>
          <w:szCs w:val="20"/>
        </w:rPr>
        <w:t xml:space="preserve">) дней со дня отгрузки продукции.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На продукцию, подлежащую обязательной сертификации, Поставщик обязан направить сертификаты соответствия и безопасности.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tabs>
          <w:tab w:val="left" w:leader="none" w:pos="1080"/>
        </w:tabs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2.3.</w:t>
        <w:tab/>
        <w:t xml:space="preserve">Количество поставляемой по договору продукции должно соответствовать отгрузочным документам.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2.4. Гарантийный срок на поставленную продукцию устанавливается с </w:t>
      </w:r>
      <w:r>
        <w:rPr>
          <w:sz w:val="20"/>
          <w:szCs w:val="20"/>
        </w:rPr>
        <w:t xml:space="preserve">момента отгрузки</w:t>
      </w:r>
      <w:r>
        <w:rPr>
          <w:sz w:val="20"/>
          <w:szCs w:val="20"/>
        </w:rPr>
        <w:t xml:space="preserve"> продукции и составляет 3 (три) года.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ab/>
        <w:t xml:space="preserve">2.5. Срок устранения недостатков или замены продукции в пределах гарантийного срока 5 (пять) календарных дней с момента обнаружения недостатков.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2.6. Покупатель имеет право на проверку качества закупаемой продукции непосредственно у Поставщика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 ПОРЯДОК И СРОКИ ПОСТАВКИ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tabs>
          <w:tab w:val="left" w:leader="none" w:pos="720"/>
        </w:tabs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3.1. Покупатель обязан направить в адрес Поставщика за 10 (десять) дней до начала периода поставки отгрузочные разнарядки (письма, телеграммы). Поставка продукции осуществляется в соответствии с разнарядками </w:t>
      </w:r>
      <w:r>
        <w:rPr>
          <w:sz w:val="20"/>
          <w:szCs w:val="20"/>
        </w:rPr>
        <w:t xml:space="preserve">на поставки</w:t>
      </w:r>
      <w:r>
        <w:rPr>
          <w:sz w:val="20"/>
          <w:szCs w:val="20"/>
        </w:rPr>
        <w:t xml:space="preserve">, если иное не установлено соглашением сторон.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3.2. При наличии продукции на складе Поставщика – срок поставки составляет не более 3 (трех) календарных дней с момента заказа продукции. В случае</w:t>
      </w:r>
      <w:r>
        <w:rPr>
          <w:sz w:val="20"/>
          <w:szCs w:val="20"/>
        </w:rPr>
        <w:t xml:space="preserve"> отсутствия таковой на складе Поставщика, данная продукция считается заказанной. Срок поставки заказанной продукции составляет не более 10 (десяти) календарных дней с момента заказа товара.  Поставщик оставляет за собой право осуществить поставку досрочно.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3.3. Досрочная поставка продукции возможна с </w:t>
      </w:r>
      <w:r>
        <w:rPr>
          <w:sz w:val="20"/>
          <w:szCs w:val="20"/>
        </w:rPr>
        <w:t xml:space="preserve">письменного согласия</w:t>
      </w:r>
      <w:r>
        <w:rPr>
          <w:sz w:val="20"/>
          <w:szCs w:val="20"/>
        </w:rPr>
        <w:t xml:space="preserve"> Покупателя, в противном случае продукция принимается на ответственное хранение с выставлением счета за хранение. Досрочно поставленная и принятая Покупателем продукция засчитывается в счет количества продукции, подлежащей поставке в следующем периоде.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3.4. Доставка продукции производится автотранспортом Поставщика, либо автотранспортной компанией. </w:t>
      </w:r>
      <w:r>
        <w:rPr>
          <w:sz w:val="20"/>
          <w:szCs w:val="20"/>
        </w:rPr>
        <w:t xml:space="preserve">Поставщик, либо</w:t>
      </w:r>
      <w:r>
        <w:rPr>
          <w:sz w:val="20"/>
          <w:szCs w:val="20"/>
        </w:rPr>
        <w:t xml:space="preserve"> автотранспортная компания обязан предоставлять транспорт, оборудованный надлежащим образом, обеспечивающий безопасность перевозки и сохранность груза при транспортировке. Транспортные расходы по </w:t>
      </w:r>
      <w:r>
        <w:rPr>
          <w:sz w:val="20"/>
          <w:szCs w:val="20"/>
        </w:rPr>
        <w:t xml:space="preserve">доставке включаются в</w:t>
      </w:r>
      <w:r>
        <w:rPr>
          <w:sz w:val="20"/>
          <w:szCs w:val="20"/>
        </w:rPr>
        <w:t xml:space="preserve"> цену товара. Транспортные расходы несет Поставщик. В случае предоставления транспортного средства, не оборудованного надлежащим образом, любые риски повреждения либо утраты груза при погрузке ложатся на Поставщика.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3.5. Обязательство Поставщика по передаче продукции считается исполненным в момент передачи продукции и подписания представителем Покупателя товарной накладной.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3.6. Право собственности и риск случайной гибели или случайного повреждения продукции переходит от Поставщика к Покупателю с момента исполнения Поставщиком обязательства по передаче продукции.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3.7. Покупатель обязан получать продукцию лично, либо через уполномоче</w:t>
      </w:r>
      <w:r>
        <w:rPr>
          <w:sz w:val="20"/>
          <w:szCs w:val="20"/>
        </w:rPr>
        <w:t xml:space="preserve">нного представителя, для чего должен выдать ему доверенность, удостоверяющую право на такое получение. На усмотрение Поставщика уполномоченным лицом будет считаться любое лицо, полномочия которого явствуют из обстановки, в которой действует представитель.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 ПОРЯДОК ПРИЕМКИ ТОВАРА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Погрузо-разгрузочные работы осуществляются силами Поставщика.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>
        <w:rPr>
          <w:sz w:val="20"/>
          <w:szCs w:val="20"/>
        </w:rPr>
        <w:t xml:space="preserve">Приемка товара по количеству и по качеству осуществляется Покупателем, либо лицом по доверенности в момент передачи продукции.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4.3. В случае обнаружения в товаре недостатков по количеству и (или) качеству, представитель Покупателя делает отметку во всех экземплярах накладных о фактич</w:t>
      </w:r>
      <w:r>
        <w:rPr>
          <w:sz w:val="20"/>
          <w:szCs w:val="20"/>
        </w:rPr>
        <w:t xml:space="preserve">ески принятом количестве продукции, а также делает отметку о причинах непринятия остальной продукции. В таком случае вопрос разрешается немедленно. При этом поставка некачественного товара не засчитывается в выполнение обязательств по настоящему договору.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4.4. Приемка продукции по количеству и качеству производится в порядке, предусмотренном </w:t>
      </w:r>
      <w:r>
        <w:rPr>
          <w:sz w:val="20"/>
          <w:szCs w:val="20"/>
        </w:rPr>
        <w:t xml:space="preserve">Инструкциями №</w:t>
      </w:r>
      <w:r>
        <w:rPr>
          <w:sz w:val="20"/>
          <w:szCs w:val="20"/>
        </w:rPr>
        <w:t xml:space="preserve">П-6 и №П-7, утвержденными Постановлениями Госарбитража СССР (с последующими изменениями и дополнениями).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4.5. Последствия </w:t>
      </w:r>
      <w:r>
        <w:rPr>
          <w:sz w:val="20"/>
          <w:szCs w:val="20"/>
        </w:rPr>
        <w:t xml:space="preserve">поставки продукции</w:t>
      </w:r>
      <w:r>
        <w:rPr>
          <w:sz w:val="20"/>
          <w:szCs w:val="20"/>
        </w:rPr>
        <w:t xml:space="preserve"> ненадлежащего качества устанавливаются по выбору Покупателя в соответствии с действующим законодательством.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4.6. Замена некомплектной и некачественной продукции, производится в течение 3 (трех) дней с момента составления </w:t>
      </w:r>
      <w:r>
        <w:rPr>
          <w:sz w:val="20"/>
          <w:szCs w:val="20"/>
        </w:rPr>
        <w:t xml:space="preserve">акта приемки</w:t>
      </w:r>
      <w:r>
        <w:rPr>
          <w:sz w:val="20"/>
          <w:szCs w:val="20"/>
        </w:rPr>
        <w:t xml:space="preserve"> продукции Покупателем.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5. ЦЕНА, СУММА, ФОРМА РАСЧЕТОВ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5.1. Сумма договора определяется на основании спецификации (спецификаций).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>
        <w:rPr>
          <w:sz w:val="20"/>
          <w:szCs w:val="20"/>
        </w:rPr>
        <w:t xml:space="preserve">Порядок оплаты: оплата производится в 100% объеме в течении 7 рабочих дней</w:t>
      </w:r>
      <w:r>
        <w:rPr>
          <w:sz w:val="20"/>
          <w:szCs w:val="20"/>
        </w:rPr>
        <w:t xml:space="preserve"> с момента приемки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5.3. Форма расчетов - денежные средства.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5.4. Оплата продукции производится на основании выставленного счета путем перечисления денежных средств на расчетный счет Поставщика. Счет - фактура предоставляется Поставщиком Покупателю не позднее 5 дней с </w:t>
      </w:r>
      <w:r>
        <w:rPr>
          <w:sz w:val="20"/>
          <w:szCs w:val="20"/>
        </w:rPr>
        <w:t xml:space="preserve">момента отгрузки продукции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5.5. Стороны подтверждают, что на момент заключения договора являются (не являются) плательщиком НДС (нужное подчеркнуть). При изменении статуса в качестве плательщика </w:t>
      </w:r>
      <w:r>
        <w:rPr>
          <w:sz w:val="20"/>
          <w:szCs w:val="20"/>
        </w:rPr>
        <w:t xml:space="preserve">НДС стороны</w:t>
      </w:r>
      <w:r>
        <w:rPr>
          <w:sz w:val="20"/>
          <w:szCs w:val="20"/>
        </w:rPr>
        <w:t xml:space="preserve"> обязаны поставить друг друга об этом в известность в течение 10 дней после получения либо отмены освобождения от уплаты НДС. </w:t>
      </w:r>
      <w:r>
        <w:rPr>
          <w:sz w:val="20"/>
          <w:szCs w:val="20"/>
        </w:rPr>
        <w:t xml:space="preserve">За несвоевременное</w:t>
      </w:r>
      <w:r>
        <w:rPr>
          <w:sz w:val="20"/>
          <w:szCs w:val="20"/>
        </w:rPr>
        <w:t xml:space="preserve"> сообщение либо не </w:t>
      </w:r>
      <w:r>
        <w:rPr>
          <w:sz w:val="20"/>
          <w:szCs w:val="20"/>
        </w:rPr>
        <w:t xml:space="preserve">сообщение об</w:t>
      </w:r>
      <w:r>
        <w:rPr>
          <w:sz w:val="20"/>
          <w:szCs w:val="20"/>
        </w:rPr>
        <w:t xml:space="preserve"> изменении статуса плательщика НДС виновная сторона несет ответственность в сумме понесенных убытков.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 </w:t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6. ТАРА, УПАКОВКА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</w:t>
      </w:r>
      <w:r>
        <w:rPr>
          <w:sz w:val="20"/>
          <w:szCs w:val="20"/>
        </w:rPr>
        <w:t xml:space="preserve">1. Тара</w:t>
      </w:r>
      <w:r>
        <w:rPr>
          <w:sz w:val="20"/>
          <w:szCs w:val="20"/>
        </w:rPr>
        <w:t xml:space="preserve"> и упаковка должны обеспечивать сохранность продукции во время транспортировки при всех перегрузках.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6.2. При отгрузке продукции с применением средств пакетирования, подлежащих возврату, Поставщик обязан направить в адрес Покупателя сертификат с указанием срока возврата.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6.3. В случае отсутствия сертификата, возврат средств пакетирования осуществляется по усмотрению Покупател</w:t>
      </w:r>
      <w:r>
        <w:rPr>
          <w:sz w:val="20"/>
          <w:szCs w:val="20"/>
        </w:rPr>
        <w:t xml:space="preserve">я. При возврате средств пакетирования Поставщик возмещает Покупателю затраты по их погрузке и понесенные убытки. Сроком </w:t>
      </w:r>
      <w:r>
        <w:rPr>
          <w:sz w:val="20"/>
          <w:szCs w:val="20"/>
        </w:rPr>
        <w:t xml:space="preserve">возврата тары</w:t>
      </w:r>
      <w:r>
        <w:rPr>
          <w:sz w:val="20"/>
          <w:szCs w:val="20"/>
        </w:rPr>
        <w:t xml:space="preserve"> считается дата </w:t>
      </w:r>
      <w:r>
        <w:rPr>
          <w:sz w:val="20"/>
          <w:szCs w:val="20"/>
        </w:rPr>
        <w:t xml:space="preserve">ее приемки</w:t>
      </w:r>
      <w:r>
        <w:rPr>
          <w:sz w:val="20"/>
          <w:szCs w:val="20"/>
        </w:rPr>
        <w:t xml:space="preserve"> к транспортировке транспортной организацией.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 ОТВЕТСТВЕННОСТЬ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7.1.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7.2. При просрочке поставки товара, Поставщик обязан уплатить неустойку в размере 1% ставки рефинансирования ЦБ РФ, действующей на день уплаты неустойки (начисляется за каждый день просрочки исполнен</w:t>
      </w:r>
      <w:r>
        <w:rPr>
          <w:sz w:val="20"/>
          <w:szCs w:val="20"/>
        </w:rPr>
        <w:t xml:space="preserve">ия обязательства, начиная со дня, установленного срока исполнения обязательства). Размер неустойки может превышать сумму невыполненных обязательств. При этом уплата неустойки не освобождает поставщика от выполнения принятых обязательств по поставке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 СРОК ДЕЙСТВИЯ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8.1. Настоящий договор вступает в действие с момента подписания и действует до </w:t>
      </w:r>
      <w:r>
        <w:rPr>
          <w:sz w:val="20"/>
          <w:szCs w:val="20"/>
        </w:rPr>
        <w:t xml:space="preserve">31 декабря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25г.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8.2. По истечению срока действия договора и при наличии невыполненных обязательств сторонами, действие договора продлевается до завершения всех взаимных обязательств и урегулирования взаиморасчетов.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8.3. Настоящий договор может быть р</w:t>
      </w:r>
      <w:r>
        <w:rPr>
          <w:sz w:val="20"/>
          <w:szCs w:val="20"/>
        </w:rPr>
        <w:t xml:space="preserve">асторгнут досрочно по обоюдному согласию сторон либо по инициативе одной из сторон без обращения в судебные органы с предупреждением стороны за 14 (четырнадцать) дней до предполагаемого момента расторжения при условии полного урегулирования взаиморасчетов.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 ПРОЧИЕ УСЛОВИЯ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9.1. Любые изменения и дополнения к настоящему договору действительны только в том случае, если они согласованы сторонами в письменном виде.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9.2. Документы, переданные </w:t>
      </w:r>
      <w:r>
        <w:rPr>
          <w:sz w:val="20"/>
          <w:szCs w:val="20"/>
        </w:rPr>
        <w:t xml:space="preserve">посредством факсимильной связи,</w:t>
      </w:r>
      <w:r>
        <w:rPr>
          <w:sz w:val="20"/>
          <w:szCs w:val="20"/>
        </w:rPr>
        <w:t xml:space="preserve"> имеют юридическую силу до момента представления оригинала, что является обязательным для сторон.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9.3. </w:t>
      </w:r>
      <w:r>
        <w:rPr>
          <w:sz w:val="20"/>
          <w:szCs w:val="20"/>
        </w:rPr>
        <w:t xml:space="preserve">Споры и разногласия, возникающие у сторон по настоящему договору или в связи </w:t>
      </w:r>
      <w:r>
        <w:rPr>
          <w:sz w:val="20"/>
          <w:szCs w:val="20"/>
        </w:rPr>
        <w:t xml:space="preserve">с ним,</w:t>
      </w:r>
      <w:r>
        <w:rPr>
          <w:sz w:val="20"/>
          <w:szCs w:val="20"/>
        </w:rPr>
        <w:t xml:space="preserve"> разрешаются в претензионно-исковом порядке. Срок ответа на претензию – 30 (</w:t>
      </w:r>
      <w:r>
        <w:rPr>
          <w:sz w:val="20"/>
          <w:szCs w:val="20"/>
        </w:rPr>
        <w:t xml:space="preserve">тридцать</w:t>
      </w:r>
      <w:r>
        <w:rPr>
          <w:sz w:val="20"/>
          <w:szCs w:val="20"/>
        </w:rPr>
        <w:t xml:space="preserve">) дней с момента получения. В случае невозможности урегулирования спора в досудебном порядке, он передается на рассмотрение Арбитражного суда Свердловской области.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9.4. Каждая из сторон заявляет и подтверждает, что на момент подписания настоящего договора она имеет все необх</w:t>
      </w:r>
      <w:r>
        <w:rPr>
          <w:sz w:val="20"/>
          <w:szCs w:val="20"/>
        </w:rPr>
        <w:t xml:space="preserve">одимые полномочия, разрешения, согласования, лицензии для подписания договора и исполнения своих обязательств по нему. При изменении каких-либо обстоятельств, поименованных в настоящем пункте, каждая сторона обязуется немедленно известить об этом партнера.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9.5. К отношениям сторон, возникающим из настоящего договора, не применяется ст.317.1 ГК РФ, и кредитор по денежному обязательству не имеет права на получение с должника процентов на сумму долга за период пользования денежными средствами.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</w:t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. Стороны обязуются извещать друг друга об изменении любых своих реквизитов не позднее 5 (пяти) дней с момента таких изменений.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. Настоящий договор составлен в двух подлинных экземплярах, имеющих равную юридическую силу.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10. РЕКВИЗИТЫ СТОРОН: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3"/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67"/>
        <w:gridCol w:w="8061"/>
      </w:tblGrid>
      <w:tr>
        <w:trPr>
          <w:trHeight w:val="1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"Покупатель"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61" w:type="dxa"/>
            <w:vAlign w:val="top"/>
            <w:textDirection w:val="lrTb"/>
            <w:noWrap w:val="false"/>
          </w:tcPr>
          <w:p>
            <w:pPr>
              <w:pStyle w:val="884"/>
              <w:pBdr/>
              <w:spacing w:after="0" w:before="0"/>
              <w:ind w:firstLine="0"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«Райкомхоз-теплосети»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«Райкомхоз-те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лосети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   6623019177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   662301001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  </w:t>
            </w:r>
            <w:r>
              <w:rPr>
                <w:sz w:val="20"/>
                <w:szCs w:val="20"/>
              </w:rPr>
              <w:t xml:space="preserve">1046601237264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Юридический, фактический, почтовый адрес: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622051, Свердловская </w:t>
            </w:r>
            <w:r>
              <w:rPr>
                <w:sz w:val="20"/>
                <w:szCs w:val="20"/>
              </w:rPr>
              <w:t xml:space="preserve">область, г.</w:t>
            </w:r>
            <w:r>
              <w:rPr>
                <w:sz w:val="20"/>
                <w:szCs w:val="20"/>
              </w:rPr>
              <w:t xml:space="preserve"> Нижний Тагил,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Энтузиастов, 35, оф. 411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  8/3435/ 36-19-19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hd w:val="clear" w:color="auto" w:fill="ffffff"/>
              <w:tabs>
                <w:tab w:val="right" w:leader="none" w:pos="7845"/>
              </w:tabs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анк</w:t>
            </w:r>
            <w:r>
              <w:rPr>
                <w:sz w:val="20"/>
                <w:szCs w:val="20"/>
              </w:rPr>
              <w:t xml:space="preserve">:   </w:t>
            </w:r>
            <w:r>
              <w:rPr>
                <w:sz w:val="20"/>
                <w:szCs w:val="20"/>
              </w:rPr>
              <w:t xml:space="preserve">ПАО КБ «УБ</w:t>
            </w:r>
            <w:r>
              <w:rPr>
                <w:sz w:val="20"/>
                <w:szCs w:val="20"/>
              </w:rPr>
              <w:t xml:space="preserve">РиР» г. Екатеринбург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hd w:val="clear" w:color="auto" w:fill="ffffff"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р/сч.  </w:t>
            </w:r>
            <w:r>
              <w:rPr>
                <w:sz w:val="20"/>
                <w:szCs w:val="20"/>
              </w:rPr>
              <w:t xml:space="preserve">40702810762010000281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к/сч.  </w:t>
            </w:r>
            <w:r>
              <w:rPr>
                <w:sz w:val="20"/>
                <w:szCs w:val="20"/>
              </w:rPr>
              <w:t xml:space="preserve">30101810900000000795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 xml:space="preserve">046577795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83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29"/>
        <w:gridCol w:w="8099"/>
      </w:tblGrid>
      <w:tr>
        <w:trPr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"Поставщик"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9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84"/>
        <w:pBdr/>
        <w:spacing/>
        <w:ind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 </w:t>
        <w:tab/>
        <w:t xml:space="preserve"> </w:t>
        <w:tab/>
        <w:t xml:space="preserve">11. ПОДПИСИ И ПЕЧАТИ СТОРОН: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883"/>
        <w:pBdr/>
        <w:spacing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83"/>
        <w:pBdr/>
        <w:spacing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«Покупателя»: 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4"/>
        <w:gridCol w:w="282"/>
        <w:gridCol w:w="2241"/>
        <w:gridCol w:w="699"/>
        <w:gridCol w:w="284"/>
        <w:gridCol w:w="2489"/>
        <w:gridCol w:w="694"/>
        <w:gridCol w:w="2579"/>
      </w:tblGrid>
      <w:tr>
        <w:trPr>
          <w:cantSplit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Д</w:t>
            </w:r>
            <w:r>
              <w:rPr>
                <w:sz w:val="20"/>
              </w:rPr>
              <w:t xml:space="preserve">иректор</w:t>
            </w:r>
            <w:r>
              <w:rPr>
                <w:sz w:val="20"/>
              </w:rPr>
              <w:t xml:space="preserve"> ООО «Райкомхоз-теплосети»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84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489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94" w:type="dxa"/>
            <w:vAlign w:val="top"/>
            <w:vMerge w:val="restart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579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А.С. Антипов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cantSplit/>
        </w:trPr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            (должность, организация)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2773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(подпись)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94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579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(ф.и.о.)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cantSplit/>
          <w:gridAfter w:val="3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8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241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983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gridAfter w:val="5"/>
        </w:trPr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41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(месяц)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3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«Поставщика»: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8"/>
        <w:gridCol w:w="236"/>
        <w:gridCol w:w="2255"/>
        <w:gridCol w:w="708"/>
        <w:gridCol w:w="245"/>
        <w:gridCol w:w="39"/>
        <w:gridCol w:w="2520"/>
        <w:gridCol w:w="701"/>
        <w:gridCol w:w="2600"/>
      </w:tblGrid>
      <w:tr>
        <w:trPr>
          <w:cantSplit/>
          <w:trHeight w:val="324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890"/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84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01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600" w:type="dxa"/>
            <w:vAlign w:val="top"/>
            <w:textDirection w:val="lrTb"/>
            <w:noWrap w:val="false"/>
          </w:tcPr>
          <w:p>
            <w:pPr>
              <w:pStyle w:val="890"/>
              <w:pBdr/>
              <w:spacing/>
              <w:ind/>
              <w:rPr/>
            </w:pPr>
            <w:r/>
            <w:r/>
          </w:p>
        </w:tc>
      </w:tr>
      <w:tr>
        <w:trPr>
          <w:cantSplit/>
          <w:trHeight w:val="450"/>
        </w:trPr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организация)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/>
            <w:tcW w:w="2804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01" w:type="dxa"/>
            <w:vAlign w:val="center"/>
            <w:vMerge w:val="continue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600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(ф.и.о.)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gridAfter w:val="4"/>
          <w:trHeight w:val="332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778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36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255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953" w:type="dxa"/>
            <w:vAlign w:val="top"/>
            <w:textDirection w:val="lrTb"/>
            <w:noWrap w:val="false"/>
          </w:tcPr>
          <w:p>
            <w:pPr>
              <w:pStyle w:val="891"/>
              <w:pBdr/>
              <w:tabs>
                <w:tab w:val="left" w:leader="none" w:pos="708"/>
              </w:tabs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91"/>
              <w:pBdr/>
              <w:tabs>
                <w:tab w:val="left" w:leader="none" w:pos="708"/>
              </w:tabs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gridAfter w:val="6"/>
          <w:trHeight w:val="42"/>
        </w:trPr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78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55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(месяц)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97"/>
        <w:pBdr/>
        <w:spacing/>
        <w:ind w:firstLine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</w:p>
    <w:p>
      <w:pPr>
        <w:pStyle w:val="897"/>
        <w:pBdr/>
        <w:spacing/>
        <w:ind w:firstLine="7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97"/>
        <w:pBdr/>
        <w:spacing/>
        <w:ind w:firstLine="7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97"/>
        <w:pBdr/>
        <w:spacing/>
        <w:ind w:firstLine="720"/>
        <w:jc w:val="right"/>
        <w:rPr>
          <w:b/>
          <w:bCs/>
          <w:sz w:val="20"/>
          <w:szCs w:val="20"/>
          <w:u w:val="single"/>
        </w:rPr>
      </w:pPr>
      <w:r>
        <w:rPr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</w:p>
    <w:p>
      <w:pPr>
        <w:pStyle w:val="897"/>
        <w:pBdr/>
        <w:spacing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97"/>
        <w:pBdr/>
        <w:spacing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97"/>
        <w:pBdr/>
        <w:spacing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</w:rPr>
        <w:t xml:space="preserve">СПЕЦИФИКАЦИЯ № 1 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97"/>
        <w:pBdr/>
        <w:spacing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поставки №</w:t>
      </w:r>
      <w:r>
        <w:rPr>
          <w:sz w:val="20"/>
          <w:szCs w:val="20"/>
        </w:rPr>
        <w:t xml:space="preserve">           202</w:t>
      </w:r>
      <w:r>
        <w:rPr>
          <w:sz w:val="20"/>
          <w:szCs w:val="20"/>
        </w:rPr>
        <w:t xml:space="preserve">5г.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г.</w:t>
      </w:r>
      <w:r>
        <w:rPr>
          <w:sz w:val="20"/>
          <w:szCs w:val="20"/>
        </w:rPr>
        <w:t xml:space="preserve"> Нижний Тагил</w:t>
      </w: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ab/>
        <w:tab/>
        <w:tab/>
        <w:tab/>
        <w:tab/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дата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 w:line="36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именуемое в дальнейшем «Поставщик», в лице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Устава,</w:t>
      </w:r>
      <w:r>
        <w:rPr>
          <w:sz w:val="20"/>
          <w:szCs w:val="20"/>
        </w:rPr>
        <w:t xml:space="preserve"> с одной стороны, и </w:t>
      </w:r>
      <w:r>
        <w:rPr>
          <w:sz w:val="20"/>
          <w:szCs w:val="20"/>
        </w:rPr>
        <w:t xml:space="preserve">ООО «Райкомхоз-теплосети</w:t>
      </w:r>
      <w:r>
        <w:rPr>
          <w:sz w:val="20"/>
          <w:szCs w:val="20"/>
        </w:rPr>
        <w:t xml:space="preserve">», именуемое в дальнейшем «Покупатель», в лице директора </w:t>
      </w:r>
      <w:r>
        <w:rPr>
          <w:sz w:val="20"/>
          <w:szCs w:val="20"/>
        </w:rPr>
        <w:t xml:space="preserve">Антипова Анатолия Сергеевича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</w:t>
      </w:r>
      <w:r>
        <w:rPr>
          <w:sz w:val="20"/>
          <w:szCs w:val="20"/>
        </w:rPr>
        <w:t xml:space="preserve">, с другой стороны, совместно именуемые стороны, составили настоящую Спецификацию о нижеследующем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1.Предмет поставки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Поставщик поставляет Покупателю  продукцию из заявки участников: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Срок и условия поставки.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 xml:space="preserve">1. Срок</w:t>
      </w:r>
      <w:r>
        <w:rPr>
          <w:sz w:val="20"/>
          <w:szCs w:val="20"/>
        </w:rPr>
        <w:t xml:space="preserve"> поставки </w:t>
      </w:r>
      <w:r>
        <w:rPr>
          <w:sz w:val="20"/>
          <w:szCs w:val="20"/>
        </w:rPr>
        <w:t xml:space="preserve">Продукции: </w:t>
      </w:r>
      <w:r>
        <w:rPr>
          <w:sz w:val="20"/>
          <w:szCs w:val="20"/>
        </w:rPr>
        <w:t xml:space="preserve">с 01.10.2025-31.12.2025г.</w:t>
      </w:r>
      <w:r>
        <w:rPr>
          <w:sz w:val="20"/>
          <w:szCs w:val="20"/>
          <w:highlight w:val="yellow"/>
        </w:rPr>
      </w:r>
    </w:p>
    <w:p>
      <w:pPr>
        <w:pStyle w:val="897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>
        <w:rPr>
          <w:sz w:val="20"/>
          <w:szCs w:val="20"/>
        </w:rPr>
        <w:t xml:space="preserve">Место поставки:</w:t>
      </w:r>
      <w:r>
        <w:t xml:space="preserve"> </w:t>
      </w:r>
      <w:r>
        <w:rPr>
          <w:sz w:val="20"/>
          <w:szCs w:val="20"/>
        </w:rPr>
        <w:t xml:space="preserve">Свердловская область, город Нижний Тагил, ООО "Райкомхоз-теплосети" склад ул. Щорса д.18/6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3.Порядок и условия оплаты.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3.1.</w:t>
      </w:r>
      <w:r>
        <w:rPr>
          <w:sz w:val="20"/>
          <w:szCs w:val="20"/>
        </w:rPr>
        <w:t xml:space="preserve"> Оплата производится в 100% объеме в течении 7 (семи) рабочих дней с момента поставки продукции.</w:t>
      </w:r>
      <w:r>
        <w:rPr>
          <w:color w:val="ff0000"/>
          <w:sz w:val="20"/>
          <w:szCs w:val="20"/>
        </w:rPr>
      </w:r>
      <w:r>
        <w:rPr>
          <w:color w:val="ff0000"/>
          <w:sz w:val="20"/>
          <w:szCs w:val="20"/>
        </w:rPr>
      </w:r>
    </w:p>
    <w:p>
      <w:pPr>
        <w:pStyle w:val="883"/>
        <w:pBdr/>
        <w:spacing/>
        <w:ind/>
        <w:rPr>
          <w:sz w:val="20"/>
          <w:szCs w:val="20"/>
        </w:rPr>
      </w:pPr>
      <w:r>
        <w:rPr>
          <w:bCs/>
          <w:sz w:val="20"/>
          <w:szCs w:val="20"/>
        </w:rPr>
        <w:t xml:space="preserve">4.Настоящая Спецификация составлена в соответствии с условиями Договора </w:t>
      </w:r>
      <w:r>
        <w:rPr>
          <w:sz w:val="20"/>
          <w:szCs w:val="20"/>
        </w:rPr>
        <w:t xml:space="preserve">поставки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является неотъемлемой частью вышеуказанного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 Настоящая</w:t>
      </w:r>
      <w:r>
        <w:rPr>
          <w:bCs/>
          <w:sz w:val="20"/>
          <w:szCs w:val="20"/>
        </w:rPr>
        <w:t xml:space="preserve"> Спецификация составлена в двух подлинных экземплярах, по одному для </w:t>
      </w:r>
      <w:r>
        <w:rPr>
          <w:bCs/>
          <w:sz w:val="20"/>
          <w:szCs w:val="20"/>
        </w:rPr>
        <w:t xml:space="preserve">каждой из</w:t>
      </w:r>
      <w:r>
        <w:rPr>
          <w:bCs/>
          <w:sz w:val="20"/>
          <w:szCs w:val="20"/>
        </w:rPr>
        <w:t xml:space="preserve"> Сторон.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83"/>
        <w:pBdr/>
        <w:spacing/>
        <w:ind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tbl>
      <w:tblPr>
        <w:tblW w:w="0" w:type="auto"/>
        <w:tblInd w:w="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521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</w:t>
            </w:r>
            <w:r>
              <w:rPr>
                <w:bCs/>
                <w:sz w:val="20"/>
                <w:szCs w:val="20"/>
              </w:rPr>
              <w:t xml:space="preserve">иректор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ООО «Райкомхоз-теплосети»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883"/>
        <w:pBdr/>
        <w:spacing/>
        <w:ind w:right="6519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tabs>
          <w:tab w:val="left" w:leader="none" w:pos="6720"/>
        </w:tabs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_____________________</w:t>
      </w:r>
      <w:r>
        <w:rPr>
          <w:sz w:val="20"/>
          <w:szCs w:val="20"/>
        </w:rPr>
        <w:t xml:space="preserve">А.С. Антипов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__________________/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h="16838" w:orient="portrait" w:w="11906"/>
      <w:pgMar w:top="720" w:right="720" w:bottom="454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Intense Emphasis"/>
    <w:basedOn w:val="9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98">
    <w:name w:val="Intense Reference"/>
    <w:basedOn w:val="9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9">
    <w:name w:val="Subtle Emphasis"/>
    <w:basedOn w:val="9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0">
    <w:name w:val="Emphasis"/>
    <w:basedOn w:val="901"/>
    <w:uiPriority w:val="20"/>
    <w:qFormat/>
    <w:pPr>
      <w:pBdr/>
      <w:spacing/>
      <w:ind/>
    </w:pPr>
    <w:rPr>
      <w:i/>
      <w:iCs/>
    </w:rPr>
  </w:style>
  <w:style w:type="character" w:styleId="701">
    <w:name w:val="Strong"/>
    <w:basedOn w:val="901"/>
    <w:uiPriority w:val="22"/>
    <w:qFormat/>
    <w:pPr>
      <w:pBdr/>
      <w:spacing/>
      <w:ind/>
    </w:pPr>
    <w:rPr>
      <w:b/>
      <w:bCs/>
    </w:rPr>
  </w:style>
  <w:style w:type="character" w:styleId="702">
    <w:name w:val="Subtle Reference"/>
    <w:basedOn w:val="9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3">
    <w:name w:val="Book Title"/>
    <w:basedOn w:val="9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4">
    <w:name w:val="FollowedHyperlink"/>
    <w:basedOn w:val="9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5">
    <w:name w:val="Heading 1"/>
    <w:basedOn w:val="883"/>
    <w:next w:val="883"/>
    <w:link w:val="70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pBdr/>
      <w:spacing/>
      <w:ind w:left="720"/>
      <w:contextualSpacing w:val="true"/>
    </w:pPr>
  </w:style>
  <w:style w:type="paragraph" w:styleId="724">
    <w:name w:val="No Spacing"/>
    <w:uiPriority w:val="1"/>
    <w:qFormat/>
    <w:pPr>
      <w:pBdr/>
      <w:spacing w:after="0" w:before="0" w:line="240" w:lineRule="auto"/>
      <w:ind/>
    </w:pPr>
  </w:style>
  <w:style w:type="paragraph" w:styleId="725">
    <w:name w:val="Title"/>
    <w:basedOn w:val="883"/>
    <w:next w:val="883"/>
    <w:link w:val="72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6">
    <w:name w:val="Title Char"/>
    <w:link w:val="725"/>
    <w:uiPriority w:val="10"/>
    <w:pPr>
      <w:pBdr/>
      <w:spacing/>
      <w:ind/>
    </w:pPr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8">
    <w:name w:val="Subtitle Char"/>
    <w:link w:val="727"/>
    <w:uiPriority w:val="11"/>
    <w:pPr>
      <w:pBdr/>
      <w:spacing/>
      <w:ind/>
    </w:pPr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pBdr/>
      <w:spacing/>
      <w:ind w:right="720" w:left="720"/>
    </w:pPr>
    <w:rPr>
      <w:i/>
    </w:rPr>
  </w:style>
  <w:style w:type="character" w:styleId="730">
    <w:name w:val="Quote Char"/>
    <w:link w:val="729"/>
    <w:uiPriority w:val="29"/>
    <w:pPr>
      <w:pBdr/>
      <w:spacing/>
      <w:ind/>
    </w:pPr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2">
    <w:name w:val="Intense Quote Char"/>
    <w:link w:val="731"/>
    <w:uiPriority w:val="30"/>
    <w:pPr>
      <w:pBdr/>
      <w:spacing/>
      <w:ind/>
    </w:pPr>
    <w:rPr>
      <w:i/>
    </w:rPr>
  </w:style>
  <w:style w:type="paragraph" w:styleId="733">
    <w:name w:val="Header"/>
    <w:basedOn w:val="883"/>
    <w:link w:val="73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4">
    <w:name w:val="Header Char"/>
    <w:link w:val="733"/>
    <w:uiPriority w:val="99"/>
    <w:pPr>
      <w:pBdr/>
      <w:spacing/>
      <w:ind/>
    </w:pPr>
  </w:style>
  <w:style w:type="paragraph" w:styleId="735">
    <w:name w:val="Footer"/>
    <w:basedOn w:val="883"/>
    <w:link w:val="73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6">
    <w:name w:val="Footer Char"/>
    <w:link w:val="735"/>
    <w:uiPriority w:val="99"/>
    <w:pPr>
      <w:pBdr/>
      <w:spacing/>
      <w:ind/>
    </w:pPr>
  </w:style>
  <w:style w:type="paragraph" w:styleId="737">
    <w:name w:val="Caption"/>
    <w:basedOn w:val="883"/>
    <w:next w:val="88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  <w:pPr>
      <w:pBdr/>
      <w:spacing/>
      <w:ind/>
    </w:pPr>
  </w:style>
  <w:style w:type="table" w:styleId="739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7">
    <w:name w:val="Footnote Text Char"/>
    <w:link w:val="866"/>
    <w:uiPriority w:val="99"/>
    <w:pPr>
      <w:pBdr/>
      <w:spacing/>
      <w:ind/>
    </w:pPr>
    <w:rPr>
      <w:sz w:val="18"/>
    </w:rPr>
  </w:style>
  <w:style w:type="character" w:styleId="86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0">
    <w:name w:val="Endnote Text Char"/>
    <w:link w:val="869"/>
    <w:uiPriority w:val="99"/>
    <w:pPr>
      <w:pBdr/>
      <w:spacing/>
      <w:ind/>
    </w:pPr>
    <w:rPr>
      <w:sz w:val="20"/>
    </w:rPr>
  </w:style>
  <w:style w:type="character" w:styleId="87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pBdr/>
      <w:spacing w:after="57"/>
      <w:ind w:right="0" w:firstLine="0" w:left="0"/>
    </w:pPr>
  </w:style>
  <w:style w:type="paragraph" w:styleId="873">
    <w:name w:val="toc 2"/>
    <w:basedOn w:val="883"/>
    <w:next w:val="883"/>
    <w:uiPriority w:val="39"/>
    <w:unhideWhenUsed/>
    <w:pPr>
      <w:pBdr/>
      <w:spacing w:after="57"/>
      <w:ind w:right="0" w:firstLine="0" w:left="283"/>
    </w:pPr>
  </w:style>
  <w:style w:type="paragraph" w:styleId="874">
    <w:name w:val="toc 3"/>
    <w:basedOn w:val="883"/>
    <w:next w:val="883"/>
    <w:uiPriority w:val="39"/>
    <w:unhideWhenUsed/>
    <w:pPr>
      <w:pBdr/>
      <w:spacing w:after="57"/>
      <w:ind w:right="0" w:firstLine="0" w:left="567"/>
    </w:pPr>
  </w:style>
  <w:style w:type="paragraph" w:styleId="875">
    <w:name w:val="toc 4"/>
    <w:basedOn w:val="883"/>
    <w:next w:val="883"/>
    <w:uiPriority w:val="39"/>
    <w:unhideWhenUsed/>
    <w:pPr>
      <w:pBdr/>
      <w:spacing w:after="57"/>
      <w:ind w:right="0" w:firstLine="0" w:left="850"/>
    </w:pPr>
  </w:style>
  <w:style w:type="paragraph" w:styleId="876">
    <w:name w:val="toc 5"/>
    <w:basedOn w:val="883"/>
    <w:next w:val="883"/>
    <w:uiPriority w:val="39"/>
    <w:unhideWhenUsed/>
    <w:pPr>
      <w:pBdr/>
      <w:spacing w:after="57"/>
      <w:ind w:right="0" w:firstLine="0" w:left="1134"/>
    </w:pPr>
  </w:style>
  <w:style w:type="paragraph" w:styleId="877">
    <w:name w:val="toc 6"/>
    <w:basedOn w:val="883"/>
    <w:next w:val="883"/>
    <w:uiPriority w:val="39"/>
    <w:unhideWhenUsed/>
    <w:pPr>
      <w:pBdr/>
      <w:spacing w:after="57"/>
      <w:ind w:right="0" w:firstLine="0" w:left="1417"/>
    </w:pPr>
  </w:style>
  <w:style w:type="paragraph" w:styleId="878">
    <w:name w:val="toc 7"/>
    <w:basedOn w:val="883"/>
    <w:next w:val="883"/>
    <w:uiPriority w:val="39"/>
    <w:unhideWhenUsed/>
    <w:pPr>
      <w:pBdr/>
      <w:spacing w:after="57"/>
      <w:ind w:right="0" w:firstLine="0" w:left="1701"/>
    </w:pPr>
  </w:style>
  <w:style w:type="paragraph" w:styleId="879">
    <w:name w:val="toc 8"/>
    <w:basedOn w:val="883"/>
    <w:next w:val="883"/>
    <w:uiPriority w:val="39"/>
    <w:unhideWhenUsed/>
    <w:pPr>
      <w:pBdr/>
      <w:spacing w:after="57"/>
      <w:ind w:right="0" w:firstLine="0" w:left="1984"/>
    </w:pPr>
  </w:style>
  <w:style w:type="paragraph" w:styleId="880">
    <w:name w:val="toc 9"/>
    <w:basedOn w:val="883"/>
    <w:next w:val="883"/>
    <w:uiPriority w:val="39"/>
    <w:unhideWhenUsed/>
    <w:pPr>
      <w:pBdr/>
      <w:spacing w:after="57"/>
      <w:ind w:right="0" w:firstLine="0" w:left="2268"/>
    </w:pPr>
  </w:style>
  <w:style w:type="paragraph" w:styleId="881">
    <w:name w:val="TOC Heading"/>
    <w:uiPriority w:val="39"/>
    <w:unhideWhenUsed/>
    <w:pPr>
      <w:pBdr/>
      <w:spacing/>
      <w:ind/>
    </w:pPr>
  </w:style>
  <w:style w:type="paragraph" w:styleId="882">
    <w:name w:val="table of figures"/>
    <w:basedOn w:val="883"/>
    <w:next w:val="883"/>
    <w:uiPriority w:val="99"/>
    <w:unhideWhenUsed/>
    <w:pPr>
      <w:pBdr/>
      <w:spacing w:after="0" w:afterAutospacing="0"/>
      <w:ind/>
    </w:pPr>
  </w:style>
  <w:style w:type="paragraph" w:styleId="883" w:default="1">
    <w:name w:val="Normal"/>
    <w:next w:val="883"/>
    <w:link w:val="883"/>
    <w:qFormat/>
    <w:pPr>
      <w:pBdr/>
      <w:spacing w:after="60"/>
      <w:ind/>
      <w:jc w:val="both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84">
    <w:name w:val="Заголовок 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883"/>
    <w:next w:val="883"/>
    <w:link w:val="889"/>
    <w:qFormat/>
    <w:pPr>
      <w:keepNext w:val="true"/>
      <w:pBdr/>
      <w:tabs>
        <w:tab w:val="num" w:leader="none" w:pos="432"/>
      </w:tabs>
      <w:spacing w:before="240"/>
      <w:ind w:hanging="432" w:left="432"/>
      <w:jc w:val="center"/>
      <w:outlineLvl w:val="0"/>
    </w:pPr>
    <w:rPr>
      <w:b/>
      <w:bCs/>
      <w:sz w:val="36"/>
      <w:szCs w:val="36"/>
    </w:rPr>
  </w:style>
  <w:style w:type="paragraph" w:styleId="885">
    <w:name w:val="Заголовок 2"/>
    <w:basedOn w:val="883"/>
    <w:next w:val="883"/>
    <w:link w:val="898"/>
    <w:uiPriority w:val="9"/>
    <w:unhideWhenUsed/>
    <w:qFormat/>
    <w:pPr>
      <w:keepNext w:val="true"/>
      <w:pBdr/>
      <w:spacing w:before="240"/>
      <w:ind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86">
    <w:name w:val="Основной шрифт абзаца"/>
    <w:next w:val="886"/>
    <w:link w:val="883"/>
    <w:uiPriority w:val="1"/>
    <w:semiHidden/>
    <w:unhideWhenUsed/>
    <w:pPr>
      <w:pBdr/>
      <w:spacing/>
      <w:ind/>
    </w:pPr>
  </w:style>
  <w:style w:type="table" w:styleId="887">
    <w:name w:val="Обычная таблица"/>
    <w:next w:val="887"/>
    <w:link w:val="883"/>
    <w:uiPriority w:val="99"/>
    <w:semiHidden/>
    <w:unhideWhenUsed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8">
    <w:name w:val="Нет списка"/>
    <w:next w:val="888"/>
    <w:link w:val="883"/>
    <w:uiPriority w:val="99"/>
    <w:semiHidden/>
    <w:unhideWhenUsed/>
    <w:pPr>
      <w:pBdr/>
      <w:spacing/>
      <w:ind/>
    </w:pPr>
  </w:style>
  <w:style w:type="character" w:styleId="889">
    <w:name w:val="Заголовок 1 Знак"/>
    <w:next w:val="889"/>
    <w:link w:val="884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90">
    <w:name w:val="Оглавление 1"/>
    <w:basedOn w:val="883"/>
    <w:next w:val="883"/>
    <w:link w:val="883"/>
    <w:semiHidden/>
    <w:pPr>
      <w:pBdr/>
      <w:tabs>
        <w:tab w:val="left" w:leader="none" w:pos="1440"/>
        <w:tab w:val="right" w:leader="dot" w:pos="10195"/>
      </w:tabs>
      <w:spacing w:after="120" w:before="120"/>
      <w:ind/>
    </w:pPr>
    <w:rPr>
      <w:bCs/>
      <w:caps/>
      <w:sz w:val="20"/>
      <w:szCs w:val="20"/>
    </w:rPr>
  </w:style>
  <w:style w:type="paragraph" w:styleId="891">
    <w:name w:val="Верхний колонтитул"/>
    <w:basedOn w:val="883"/>
    <w:next w:val="891"/>
    <w:link w:val="892"/>
    <w:pPr>
      <w:pBdr/>
      <w:tabs>
        <w:tab w:val="center" w:leader="none" w:pos="4153"/>
        <w:tab w:val="right" w:leader="none" w:pos="8306"/>
      </w:tabs>
      <w:spacing w:after="120" w:before="120"/>
      <w:ind/>
    </w:pPr>
    <w:rPr>
      <w:rFonts w:ascii="Arial" w:hAnsi="Arial" w:cs="Arial"/>
    </w:rPr>
  </w:style>
  <w:style w:type="character" w:styleId="892">
    <w:name w:val="Верхний колонтитул Знак"/>
    <w:next w:val="892"/>
    <w:link w:val="891"/>
    <w:pPr>
      <w:pBdr/>
      <w:spacing/>
      <w:ind/>
    </w:pPr>
    <w:rPr>
      <w:rFonts w:ascii="Arial" w:hAnsi="Arial" w:eastAsia="Times New Roman" w:cs="Arial"/>
      <w:sz w:val="24"/>
      <w:szCs w:val="24"/>
      <w:lang w:eastAsia="ru-RU"/>
    </w:rPr>
  </w:style>
  <w:style w:type="paragraph" w:styleId="893">
    <w:name w:val="Текст"/>
    <w:basedOn w:val="883"/>
    <w:next w:val="893"/>
    <w:link w:val="894"/>
    <w:pPr>
      <w:pBdr/>
      <w:spacing w:after="0"/>
      <w:ind/>
      <w:jc w:val="left"/>
    </w:pPr>
    <w:rPr>
      <w:rFonts w:ascii="Courier New" w:hAnsi="Courier New" w:cs="Courier New"/>
      <w:sz w:val="20"/>
      <w:szCs w:val="20"/>
    </w:rPr>
  </w:style>
  <w:style w:type="character" w:styleId="894">
    <w:name w:val="Текст Знак"/>
    <w:next w:val="894"/>
    <w:link w:val="893"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5">
    <w:name w:val="Без интервала"/>
    <w:next w:val="895"/>
    <w:link w:val="883"/>
    <w:uiPriority w:val="1"/>
    <w:qFormat/>
    <w:pPr>
      <w:pBdr/>
      <w:spacing/>
      <w:ind/>
      <w:jc w:val="both"/>
    </w:pPr>
    <w:rPr>
      <w:rFonts w:ascii="Times New Roman" w:hAnsi="Times New Roman" w:eastAsia="Times New Roman"/>
      <w:sz w:val="24"/>
      <w:lang w:val="ru-RU" w:eastAsia="ru-RU" w:bidi="ar-SA"/>
    </w:rPr>
  </w:style>
  <w:style w:type="paragraph" w:styleId="896">
    <w:name w:val="ConsNormal"/>
    <w:next w:val="896"/>
    <w:link w:val="883"/>
    <w:pPr>
      <w:widowControl w:val="false"/>
      <w:pBdr/>
      <w:spacing w:after="200" w:line="276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897">
    <w:name w:val="Standard"/>
    <w:next w:val="897"/>
    <w:link w:val="883"/>
    <w:pPr>
      <w:widowControl w:val="false"/>
      <w:pBdr/>
      <w:spacing/>
      <w:ind/>
    </w:pPr>
    <w:rPr>
      <w:rFonts w:ascii="Times New Roman" w:hAnsi="Times New Roman" w:eastAsia="Arial Unicode MS" w:cs="Tahoma"/>
      <w:sz w:val="24"/>
      <w:szCs w:val="24"/>
      <w:lang w:val="ru-RU" w:eastAsia="zh-CN" w:bidi="hi-IN"/>
    </w:rPr>
  </w:style>
  <w:style w:type="character" w:styleId="898">
    <w:name w:val="Заголовок 2 Знак"/>
    <w:next w:val="898"/>
    <w:link w:val="885"/>
    <w:uiPriority w:val="9"/>
    <w:pPr>
      <w:pBdr/>
      <w:spacing/>
      <w:ind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9">
    <w:name w:val="Текст выноски"/>
    <w:basedOn w:val="883"/>
    <w:next w:val="899"/>
    <w:link w:val="900"/>
    <w:uiPriority w:val="99"/>
    <w:semiHidden/>
    <w:unhideWhenUsed/>
    <w:pPr>
      <w:pBdr/>
      <w:spacing w:after="0"/>
      <w:ind/>
    </w:pPr>
    <w:rPr>
      <w:rFonts w:ascii="Tahoma" w:hAnsi="Tahoma" w:cs="Tahoma"/>
      <w:sz w:val="16"/>
      <w:szCs w:val="16"/>
    </w:rPr>
  </w:style>
  <w:style w:type="character" w:styleId="900">
    <w:name w:val="Текст выноски Знак"/>
    <w:next w:val="900"/>
    <w:link w:val="899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character" w:styleId="901" w:default="1">
    <w:name w:val="Default Paragraph Font"/>
    <w:uiPriority w:val="1"/>
    <w:semiHidden/>
    <w:unhideWhenUsed/>
    <w:pPr>
      <w:pBdr/>
      <w:spacing/>
      <w:ind/>
    </w:pPr>
  </w:style>
  <w:style w:type="numbering" w:styleId="902" w:default="1">
    <w:name w:val="No List"/>
    <w:uiPriority w:val="99"/>
    <w:semiHidden/>
    <w:unhideWhenUsed/>
    <w:pPr>
      <w:pBdr/>
      <w:spacing/>
      <w:ind/>
    </w:pPr>
  </w:style>
  <w:style w:type="table" w:styleId="90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AleksandraUrist</dc:creator>
  <cp:revision>11</cp:revision>
  <dcterms:created xsi:type="dcterms:W3CDTF">2022-02-10T15:34:00Z</dcterms:created>
  <dcterms:modified xsi:type="dcterms:W3CDTF">2025-09-02T11:39:30Z</dcterms:modified>
  <cp:version>1048576</cp:version>
</cp:coreProperties>
</file>