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CF0154" w:rsidRPr="004117F5" w:rsidRDefault="00CF0154"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DE497A"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«25</w:t>
      </w:r>
      <w:r w:rsidR="00ED70F7" w:rsidRPr="004117F5">
        <w:rPr>
          <w:rFonts w:ascii="Times New Roman" w:hAnsi="Times New Roman" w:cs="Times New Roman"/>
          <w:spacing w:val="-1"/>
          <w:sz w:val="24"/>
          <w:szCs w:val="24"/>
        </w:rPr>
        <w:t>»</w:t>
      </w:r>
      <w:r>
        <w:rPr>
          <w:rFonts w:ascii="Times New Roman" w:hAnsi="Times New Roman" w:cs="Times New Roman"/>
          <w:spacing w:val="-5"/>
          <w:sz w:val="24"/>
          <w:szCs w:val="24"/>
        </w:rPr>
        <w:t xml:space="preserve"> июня</w:t>
      </w:r>
      <w:r w:rsidR="00672018">
        <w:rPr>
          <w:rFonts w:ascii="Times New Roman" w:hAnsi="Times New Roman" w:cs="Times New Roman"/>
          <w:sz w:val="24"/>
          <w:szCs w:val="24"/>
        </w:rPr>
        <w:t xml:space="preserve"> 2025</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1E53BF"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2025</w:t>
      </w:r>
      <w:r w:rsidR="00ED70F7"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694E65">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DB129F">
              <w:rPr>
                <w:rFonts w:ascii="Times New Roman" w:eastAsia="Times New Roman" w:hAnsi="Times New Roman" w:cs="Times New Roman"/>
                <w:lang w:eastAsia="ru-RU"/>
              </w:rPr>
              <w:t>26</w:t>
            </w:r>
            <w:r w:rsidR="00DE497A">
              <w:rPr>
                <w:rFonts w:ascii="Times New Roman" w:eastAsia="Times New Roman" w:hAnsi="Times New Roman" w:cs="Times New Roman"/>
                <w:lang w:eastAsia="ru-RU"/>
              </w:rPr>
              <w:t>» июня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w:t>
            </w:r>
            <w:r w:rsidR="00DB129F">
              <w:rPr>
                <w:rFonts w:ascii="Times New Roman" w:eastAsia="Times New Roman" w:hAnsi="Times New Roman" w:cs="Times New Roman"/>
                <w:lang w:eastAsia="ru-RU"/>
              </w:rPr>
              <w:t>08</w:t>
            </w:r>
            <w:r w:rsidR="00DE497A">
              <w:rPr>
                <w:rFonts w:ascii="Times New Roman" w:eastAsia="Times New Roman" w:hAnsi="Times New Roman" w:cs="Times New Roman"/>
                <w:lang w:eastAsia="ru-RU"/>
              </w:rPr>
              <w:t>» июля</w:t>
            </w:r>
            <w:r w:rsidR="00E12246">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proofErr w:type="gramEnd"/>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w:t>
            </w:r>
            <w:r w:rsidR="003A356D">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 xml:space="preserve">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proofErr w:type="gramStart"/>
            <w:r w:rsidRPr="0010432B">
              <w:rPr>
                <w:rFonts w:ascii="Times New Roman" w:eastAsia="Times New Roman" w:hAnsi="Times New Roman" w:cs="Times New Roman"/>
                <w:lang w:eastAsia="ru-RU"/>
              </w:rPr>
              <w:t>«</w:t>
            </w:r>
            <w:r w:rsidR="00DB129F">
              <w:rPr>
                <w:rFonts w:ascii="Times New Roman" w:eastAsia="Times New Roman" w:hAnsi="Times New Roman" w:cs="Times New Roman"/>
                <w:lang w:eastAsia="ru-RU"/>
              </w:rPr>
              <w:t>09</w:t>
            </w:r>
            <w:r w:rsidR="00AB2471">
              <w:rPr>
                <w:rFonts w:ascii="Times New Roman" w:eastAsia="Times New Roman" w:hAnsi="Times New Roman" w:cs="Times New Roman"/>
                <w:lang w:eastAsia="ru-RU"/>
              </w:rPr>
              <w:t xml:space="preserve">» </w:t>
            </w:r>
            <w:r w:rsidR="00DE497A">
              <w:rPr>
                <w:rFonts w:ascii="Times New Roman" w:eastAsia="Times New Roman" w:hAnsi="Times New Roman" w:cs="Times New Roman"/>
                <w:lang w:eastAsia="ru-RU"/>
              </w:rPr>
              <w:t>июля</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895942">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w:t>
            </w:r>
            <w:proofErr w:type="gramEnd"/>
            <w:r w:rsidR="003752DE" w:rsidRPr="0010432B">
              <w:rPr>
                <w:rFonts w:ascii="Times New Roman" w:eastAsia="Times New Roman" w:hAnsi="Times New Roman" w:cs="Times New Roman"/>
                <w:lang w:eastAsia="ru-RU"/>
              </w:rPr>
              <w:t xml:space="preserve">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49410D" w:rsidRPr="0049410D"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49410D">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49410D">
        <w:rPr>
          <w:rFonts w:ascii="Times New Roman" w:eastAsia="Times New Roman" w:hAnsi="Times New Roman" w:cs="Times New Roman"/>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9410D" w:rsidRPr="0010432B"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4.10</w:t>
      </w:r>
      <w:r w:rsidRPr="0049410D">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49410D">
        <w:rPr>
          <w:rFonts w:ascii="Times New Roman" w:eastAsia="Times New Roman" w:hAnsi="Times New Roman" w:cs="Times New Roman"/>
          <w:lang w:eastAsia="ru-RU"/>
        </w:rPr>
        <w:t>контроле за</w:t>
      </w:r>
      <w:proofErr w:type="gramEnd"/>
      <w:r w:rsidRPr="0049410D">
        <w:rPr>
          <w:rFonts w:ascii="Times New Roman" w:eastAsia="Times New Roman" w:hAnsi="Times New Roman" w:cs="Times New Roman"/>
          <w:lang w:eastAsia="ru-RU"/>
        </w:rPr>
        <w:t xml:space="preserve"> деятельностью лиц, находящихся под иностранным влиянием».</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DB129F">
        <w:rPr>
          <w:rFonts w:ascii="Times New Roman" w:eastAsia="Times New Roman" w:hAnsi="Times New Roman" w:cs="Times New Roman"/>
          <w:lang w:eastAsia="ru-RU"/>
        </w:rPr>
        <w:t>26</w:t>
      </w:r>
      <w:r w:rsidR="00BD774C">
        <w:rPr>
          <w:rFonts w:ascii="Times New Roman" w:eastAsia="Times New Roman" w:hAnsi="Times New Roman" w:cs="Times New Roman"/>
          <w:lang w:eastAsia="ru-RU"/>
        </w:rPr>
        <w:t>» июня</w:t>
      </w:r>
      <w:r w:rsidR="003D7679">
        <w:rPr>
          <w:rFonts w:ascii="Times New Roman" w:eastAsia="Times New Roman" w:hAnsi="Times New Roman" w:cs="Times New Roman"/>
          <w:lang w:eastAsia="ru-RU"/>
        </w:rPr>
        <w:t xml:space="preserve"> 2025</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DB129F">
        <w:rPr>
          <w:rFonts w:ascii="Times New Roman" w:eastAsia="Times New Roman" w:hAnsi="Times New Roman" w:cs="Times New Roman"/>
          <w:lang w:eastAsia="ru-RU"/>
        </w:rPr>
        <w:t>08</w:t>
      </w:r>
      <w:r w:rsidR="00BD774C">
        <w:rPr>
          <w:rFonts w:ascii="Times New Roman" w:eastAsia="Times New Roman" w:hAnsi="Times New Roman" w:cs="Times New Roman"/>
          <w:lang w:eastAsia="ru-RU"/>
        </w:rPr>
        <w:t>» июля</w:t>
      </w:r>
      <w:r w:rsidR="00694E65" w:rsidRPr="00694E65">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DB129F">
        <w:rPr>
          <w:rFonts w:ascii="Times New Roman" w:eastAsia="Times New Roman" w:hAnsi="Times New Roman" w:cs="Times New Roman"/>
          <w:lang w:eastAsia="ru-RU"/>
        </w:rPr>
        <w:t>09</w:t>
      </w:r>
      <w:bookmarkStart w:id="5" w:name="_GoBack"/>
      <w:bookmarkEnd w:id="5"/>
      <w:r w:rsidR="00BD774C">
        <w:rPr>
          <w:rFonts w:ascii="Times New Roman" w:eastAsia="Times New Roman" w:hAnsi="Times New Roman" w:cs="Times New Roman"/>
          <w:lang w:eastAsia="ru-RU"/>
        </w:rPr>
        <w:t>» июля</w:t>
      </w:r>
      <w:r w:rsidR="00694E65" w:rsidRPr="00694E65">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632" w:type="dxa"/>
        <w:tblInd w:w="-176" w:type="dxa"/>
        <w:tblLook w:val="04A0" w:firstRow="1" w:lastRow="0" w:firstColumn="1" w:lastColumn="0" w:noHBand="0" w:noVBand="1"/>
      </w:tblPr>
      <w:tblGrid>
        <w:gridCol w:w="10632"/>
      </w:tblGrid>
      <w:tr w:rsidR="00E21FA4" w:rsidRPr="0010432B" w:rsidTr="008C7DEB">
        <w:trPr>
          <w:trHeight w:val="630"/>
        </w:trPr>
        <w:tc>
          <w:tcPr>
            <w:tcW w:w="10632"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669" w:type="dxa"/>
        <w:tblInd w:w="-176" w:type="dxa"/>
        <w:tblLook w:val="04A0" w:firstRow="1" w:lastRow="0" w:firstColumn="1" w:lastColumn="0" w:noHBand="0" w:noVBand="1"/>
      </w:tblPr>
      <w:tblGrid>
        <w:gridCol w:w="486"/>
        <w:gridCol w:w="3425"/>
        <w:gridCol w:w="1113"/>
        <w:gridCol w:w="1540"/>
        <w:gridCol w:w="1660"/>
        <w:gridCol w:w="2445"/>
      </w:tblGrid>
      <w:tr w:rsidR="008C7DEB" w:rsidRPr="008C7DEB" w:rsidTr="008C7DEB">
        <w:trPr>
          <w:trHeight w:val="127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 </w:t>
            </w:r>
            <w:proofErr w:type="gramStart"/>
            <w:r w:rsidRPr="008C7DEB">
              <w:rPr>
                <w:rFonts w:ascii="Times New Roman" w:eastAsia="Times New Roman" w:hAnsi="Times New Roman" w:cs="Times New Roman"/>
                <w:sz w:val="20"/>
                <w:szCs w:val="20"/>
                <w:lang w:eastAsia="ru-RU"/>
              </w:rPr>
              <w:t>п</w:t>
            </w:r>
            <w:proofErr w:type="gramEnd"/>
            <w:r w:rsidRPr="008C7DEB">
              <w:rPr>
                <w:rFonts w:ascii="Times New Roman" w:eastAsia="Times New Roman" w:hAnsi="Times New Roman" w:cs="Times New Roman"/>
                <w:sz w:val="20"/>
                <w:szCs w:val="20"/>
                <w:lang w:eastAsia="ru-RU"/>
              </w:rPr>
              <w:t>/п</w:t>
            </w:r>
          </w:p>
        </w:tc>
        <w:tc>
          <w:tcPr>
            <w:tcW w:w="3425"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Вид работ</w:t>
            </w:r>
          </w:p>
        </w:tc>
        <w:tc>
          <w:tcPr>
            <w:tcW w:w="1113"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Единицы измерения</w:t>
            </w:r>
          </w:p>
        </w:tc>
        <w:tc>
          <w:tcPr>
            <w:tcW w:w="1540"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Стоимость единицы измерения с НДС             (</w:t>
            </w:r>
            <w:proofErr w:type="spellStart"/>
            <w:r w:rsidRPr="008C7DEB">
              <w:rPr>
                <w:rFonts w:ascii="Times New Roman" w:eastAsia="Times New Roman" w:hAnsi="Times New Roman" w:cs="Times New Roman"/>
                <w:sz w:val="20"/>
                <w:szCs w:val="20"/>
                <w:lang w:eastAsia="ru-RU"/>
              </w:rPr>
              <w:t>руб</w:t>
            </w:r>
            <w:proofErr w:type="spellEnd"/>
            <w:r w:rsidRPr="008C7DEB">
              <w:rPr>
                <w:rFonts w:ascii="Times New Roman" w:eastAsia="Times New Roman" w:hAnsi="Times New Roman" w:cs="Times New Roman"/>
                <w:sz w:val="20"/>
                <w:szCs w:val="20"/>
                <w:lang w:eastAsia="ru-RU"/>
              </w:rPr>
              <w:t>)</w:t>
            </w:r>
          </w:p>
        </w:tc>
        <w:tc>
          <w:tcPr>
            <w:tcW w:w="1660"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Стоимость единицы измерения для УСН                     (</w:t>
            </w:r>
            <w:proofErr w:type="spellStart"/>
            <w:r w:rsidRPr="008C7DEB">
              <w:rPr>
                <w:rFonts w:ascii="Times New Roman" w:eastAsia="Times New Roman" w:hAnsi="Times New Roman" w:cs="Times New Roman"/>
                <w:sz w:val="20"/>
                <w:szCs w:val="20"/>
                <w:lang w:eastAsia="ru-RU"/>
              </w:rPr>
              <w:t>руб</w:t>
            </w:r>
            <w:proofErr w:type="spellEnd"/>
            <w:r w:rsidRPr="008C7DEB">
              <w:rPr>
                <w:rFonts w:ascii="Times New Roman" w:eastAsia="Times New Roman" w:hAnsi="Times New Roman" w:cs="Times New Roman"/>
                <w:sz w:val="20"/>
                <w:szCs w:val="20"/>
                <w:lang w:eastAsia="ru-RU"/>
              </w:rPr>
              <w:t>)</w:t>
            </w:r>
          </w:p>
        </w:tc>
        <w:tc>
          <w:tcPr>
            <w:tcW w:w="2445"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ind w:right="638"/>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Примечания</w:t>
            </w:r>
          </w:p>
        </w:tc>
      </w:tr>
      <w:tr w:rsidR="008C7DEB" w:rsidRPr="008C7DEB" w:rsidTr="008C7DEB">
        <w:trPr>
          <w:trHeight w:val="1095"/>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с подготовкой оснований, с выборкой грунта</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46 170,96</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40 836,63</w:t>
            </w:r>
          </w:p>
        </w:tc>
        <w:tc>
          <w:tcPr>
            <w:tcW w:w="2445"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ЛСР 01.06.25 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w:t>
            </w:r>
          </w:p>
        </w:tc>
      </w:tr>
      <w:tr w:rsidR="008C7DEB" w:rsidRPr="008C7DEB" w:rsidTr="008C7DEB">
        <w:trPr>
          <w:trHeight w:val="1275"/>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по подготовленному основанию с добавлением нового материала</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40 999,34</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36 319,21</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132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по подготовленному основанию без добавления нового материала</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40 421,35</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35 754,88</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1035"/>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lastRenderedPageBreak/>
              <w:t>4</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с подготовкой основания с выборкой грунта</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45 365,50</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39 650,81</w:t>
            </w:r>
          </w:p>
        </w:tc>
        <w:tc>
          <w:tcPr>
            <w:tcW w:w="2445" w:type="dxa"/>
            <w:vMerge w:val="restart"/>
            <w:tcBorders>
              <w:top w:val="nil"/>
              <w:left w:val="single" w:sz="4" w:space="0" w:color="auto"/>
              <w:bottom w:val="nil"/>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ЛСР 02.06.25 Восстановление  покрытия тротуаров </w:t>
            </w:r>
          </w:p>
        </w:tc>
      </w:tr>
      <w:tr w:rsidR="008C7DEB" w:rsidRPr="008C7DEB" w:rsidTr="008C7DEB">
        <w:trPr>
          <w:trHeight w:val="102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5</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по готовому основанию с добавлением нового материала.</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37 355,62</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32 716,35</w:t>
            </w:r>
          </w:p>
        </w:tc>
        <w:tc>
          <w:tcPr>
            <w:tcW w:w="2445"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102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6</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по готовому основанию без добавления нового материала.</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36 686,10</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32 075,74</w:t>
            </w:r>
          </w:p>
        </w:tc>
        <w:tc>
          <w:tcPr>
            <w:tcW w:w="2445"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покрытий из тротуарной плитки.</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42 706,10</w:t>
            </w:r>
          </w:p>
        </w:tc>
        <w:tc>
          <w:tcPr>
            <w:tcW w:w="16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37 804,40</w:t>
            </w:r>
          </w:p>
        </w:tc>
        <w:tc>
          <w:tcPr>
            <w:tcW w:w="2445"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покрытий тротуаров из бетонной плитки типа "Брусчатка".</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48 756,37</w:t>
            </w:r>
          </w:p>
        </w:tc>
        <w:tc>
          <w:tcPr>
            <w:tcW w:w="16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43 230,99</w:t>
            </w:r>
          </w:p>
        </w:tc>
        <w:tc>
          <w:tcPr>
            <w:tcW w:w="2445"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765"/>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9</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внутриквартальных щебеночных дорожек и площадок, толщиной слоя 12 см</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5 009,05</w:t>
            </w:r>
          </w:p>
        </w:tc>
        <w:tc>
          <w:tcPr>
            <w:tcW w:w="16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4 404,23</w:t>
            </w:r>
          </w:p>
        </w:tc>
        <w:tc>
          <w:tcPr>
            <w:tcW w:w="2445"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Разборка тротуаров брусчатых</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3 956,93</w:t>
            </w:r>
          </w:p>
        </w:tc>
        <w:tc>
          <w:tcPr>
            <w:tcW w:w="16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3 591,59</w:t>
            </w:r>
          </w:p>
        </w:tc>
        <w:tc>
          <w:tcPr>
            <w:tcW w:w="2445"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Замена бортовых камней                     БР 300.30.18 </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12 756,29</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11 175,68</w:t>
            </w:r>
          </w:p>
        </w:tc>
        <w:tc>
          <w:tcPr>
            <w:tcW w:w="2445"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r w:rsidRPr="008C7DEB">
              <w:rPr>
                <w:rFonts w:ascii="Times New Roman" w:eastAsia="Times New Roman" w:hAnsi="Times New Roman" w:cs="Times New Roman"/>
                <w:color w:val="000000"/>
                <w:sz w:val="20"/>
                <w:szCs w:val="20"/>
                <w:lang w:eastAsia="ru-RU"/>
              </w:rPr>
              <w:t>ЛСР № 03.06.25                                     Замена бортовых камней</w:t>
            </w:r>
          </w:p>
        </w:tc>
      </w:tr>
      <w:tr w:rsidR="008C7DEB" w:rsidRPr="008C7DEB" w:rsidTr="008C7DEB">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12</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Замена бортовых камней                         БУ 300.30.29. </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15 589,34</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13 919,62</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8C7DEB">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13</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Замена бортовых камней                           БР 100.20.08.  </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3 636,83</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3 092,81</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8C7DEB">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14</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Замена бортовых камней                        БР 100.30.18.  </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4 557,83</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3 983,01</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8C7DEB">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15</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Замена бортовых камней                        БР 100.30.15. </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4 338,41</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3 769,80</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8C7DEB">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16</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Природные бортовые гранитные камни типа 1ГП </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м</w:t>
            </w:r>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7 877,64</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7 212,33</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8C7DEB">
        <w:trPr>
          <w:trHeight w:val="1005"/>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17</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механизированным способом.</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8 977,94</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8 098,83</w:t>
            </w:r>
          </w:p>
        </w:tc>
        <w:tc>
          <w:tcPr>
            <w:tcW w:w="2445"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ЛСР 04.06.25 Восстановление благоустройства газонов</w:t>
            </w:r>
          </w:p>
        </w:tc>
      </w:tr>
      <w:tr w:rsidR="008C7DEB" w:rsidRPr="008C7DEB" w:rsidTr="008C7DEB">
        <w:trPr>
          <w:trHeight w:val="765"/>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18</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ручным способом.</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11 161,70</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9 918,63</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765"/>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19</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Подготовка участка механизированным способом без внесения земли.</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1 304,86</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1 087,38</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20</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Подготовка участка ручным способом без внесения земли.</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3 458,32</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2 881,93</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8C7DEB">
        <w:trPr>
          <w:trHeight w:val="375"/>
        </w:trPr>
        <w:tc>
          <w:tcPr>
            <w:tcW w:w="486" w:type="dxa"/>
            <w:tcBorders>
              <w:top w:val="nil"/>
              <w:left w:val="single" w:sz="4" w:space="0" w:color="auto"/>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21</w:t>
            </w:r>
          </w:p>
        </w:tc>
        <w:tc>
          <w:tcPr>
            <w:tcW w:w="3425"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Посев газонов  вручную</w:t>
            </w:r>
          </w:p>
        </w:tc>
        <w:tc>
          <w:tcPr>
            <w:tcW w:w="1113"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1 460,45</w:t>
            </w:r>
          </w:p>
        </w:tc>
        <w:tc>
          <w:tcPr>
            <w:tcW w:w="16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1 231,99</w:t>
            </w:r>
          </w:p>
        </w:tc>
        <w:tc>
          <w:tcPr>
            <w:tcW w:w="2445"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lastRenderedPageBreak/>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6"/>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7" w:name="_Ref311052890"/>
      <w:r w:rsidRPr="0010432B">
        <w:rPr>
          <w:rFonts w:ascii="Times New Roman" w:eastAsia="Times New Roman" w:hAnsi="Times New Roman" w:cs="Times New Roman"/>
          <w:lang w:eastAsia="ru-RU"/>
        </w:rPr>
        <w:t>2.</w:t>
      </w:r>
      <w:bookmarkStart w:id="8" w:name="_Ref299553052"/>
      <w:bookmarkStart w:id="9" w:name="_Ref314228013"/>
      <w:bookmarkEnd w:id="7"/>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8"/>
      <w:bookmarkEnd w:id="9"/>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10"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10"/>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w:t>
      </w:r>
      <w:r w:rsidRPr="0010432B">
        <w:rPr>
          <w:rFonts w:ascii="Times New Roman" w:eastAsia="Times New Roman" w:hAnsi="Times New Roman" w:cs="Times New Roman"/>
          <w:lang w:eastAsia="ru-RU"/>
        </w:rPr>
        <w:lastRenderedPageBreak/>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EC46CE" w:rsidRPr="004034F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xml:space="preserve">-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w:t>
      </w:r>
      <w:r w:rsidRPr="00B7749D">
        <w:rPr>
          <w:rFonts w:ascii="Times New Roman" w:eastAsia="Times New Roman" w:hAnsi="Times New Roman" w:cs="Times New Roman"/>
          <w:bCs/>
          <w:lang w:eastAsia="ru-RU"/>
        </w:rPr>
        <w:lastRenderedPageBreak/>
        <w:t>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C46CE" w:rsidRPr="0010432B" w:rsidRDefault="00EC46CE" w:rsidP="00C47FE2">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OLE_LINK1"/>
      <w:bookmarkStart w:id="12"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3"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3"/>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059DB" w:rsidRDefault="008059DB" w:rsidP="00C47FE2">
      <w:pPr>
        <w:autoSpaceDE w:val="0"/>
        <w:autoSpaceDN w:val="0"/>
        <w:adjustRightInd w:val="0"/>
        <w:spacing w:after="0" w:line="240" w:lineRule="auto"/>
        <w:jc w:val="both"/>
        <w:rPr>
          <w:rFonts w:ascii="Times New Roman" w:eastAsia="Times New Roman" w:hAnsi="Times New Roman" w:cs="Times New Roman"/>
          <w:bCs/>
          <w:lang w:eastAsia="ru-RU"/>
        </w:rPr>
      </w:pPr>
    </w:p>
    <w:p w:rsidR="008059DB" w:rsidRPr="00325B5F" w:rsidRDefault="008059DB" w:rsidP="008059DB">
      <w:pPr>
        <w:autoSpaceDE w:val="0"/>
        <w:autoSpaceDN w:val="0"/>
        <w:adjustRightInd w:val="0"/>
        <w:spacing w:after="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20</w:t>
      </w:r>
      <w:r w:rsidRPr="00325B5F">
        <w:rPr>
          <w:rFonts w:ascii="Times New Roman" w:hAnsi="Times New Roman" w:cs="Times New Roman"/>
          <w:b/>
          <w:shd w:val="clear" w:color="auto" w:fill="FFFFFF"/>
        </w:rPr>
        <w:t>. Применение национального режима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25B5F">
        <w:rPr>
          <w:rFonts w:ascii="Times New Roman" w:hAnsi="Times New Roman" w:cs="Times New Roman"/>
          <w:shd w:val="clear" w:color="auto" w:fill="FFFFFF"/>
        </w:rPr>
        <w:t xml:space="preserve">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lastRenderedPageBreak/>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059DB" w:rsidRPr="004034FD"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
    <w:p w:rsidR="008059DB" w:rsidRDefault="008059DB" w:rsidP="00C47FE2">
      <w:pPr>
        <w:autoSpaceDE w:val="0"/>
        <w:autoSpaceDN w:val="0"/>
        <w:adjustRightInd w:val="0"/>
        <w:spacing w:after="0" w:line="240" w:lineRule="auto"/>
        <w:jc w:val="both"/>
        <w:rPr>
          <w:rFonts w:ascii="Times New Roman" w:eastAsia="Times New Roman" w:hAnsi="Times New Roman" w:cs="Times New Roman"/>
          <w:bCs/>
          <w:lang w:eastAsia="ru-RU"/>
        </w:rPr>
      </w:pPr>
    </w:p>
    <w:bookmarkEnd w:id="11"/>
    <w:bookmarkEnd w:id="12"/>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059D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9C1663">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9C1663">
        <w:rPr>
          <w:rFonts w:ascii="Times New Roman" w:eastAsia="Times New Roman" w:hAnsi="Times New Roman" w:cs="Times New Roman"/>
          <w:lang w:eastAsia="ru-RU"/>
        </w:rPr>
        <w:t xml:space="preserve">          </w:t>
      </w:r>
      <w:r w:rsidR="00D31C49">
        <w:rPr>
          <w:rFonts w:ascii="Times New Roman" w:eastAsia="Times New Roman" w:hAnsi="Times New Roman" w:cs="Times New Roman"/>
          <w:lang w:eastAsia="ru-RU"/>
        </w:rPr>
        <w:t xml:space="preserve">            «    » ______</w:t>
      </w:r>
      <w:r w:rsidR="00DE6E97">
        <w:rPr>
          <w:rFonts w:ascii="Times New Roman" w:eastAsia="Times New Roman" w:hAnsi="Times New Roman" w:cs="Times New Roman"/>
          <w:lang w:eastAsia="ru-RU"/>
        </w:rPr>
        <w:t xml:space="preserve"> 2025</w:t>
      </w:r>
      <w:r w:rsidRPr="00743329">
        <w:rPr>
          <w:rFonts w:ascii="Times New Roman" w:eastAsia="Times New Roman" w:hAnsi="Times New Roman" w:cs="Times New Roman"/>
          <w:lang w:eastAsia="ru-RU"/>
        </w:rPr>
        <w:t>г.</w:t>
      </w:r>
    </w:p>
    <w:p w:rsid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w:t>
      </w:r>
      <w:r w:rsidR="00DE6E97">
        <w:rPr>
          <w:rFonts w:ascii="Times New Roman" w:eastAsia="Times New Roman" w:hAnsi="Times New Roman" w:cs="Times New Roman"/>
          <w:lang w:eastAsia="ru-RU"/>
        </w:rPr>
        <w:t>оответствии с протоколом № ____</w:t>
      </w:r>
      <w:r w:rsidR="00BD4F4D" w:rsidRPr="00BD4F4D">
        <w:rPr>
          <w:rFonts w:ascii="Times New Roman" w:eastAsia="Times New Roman" w:hAnsi="Times New Roman" w:cs="Times New Roman"/>
          <w:lang w:eastAsia="ru-RU"/>
        </w:rPr>
        <w:t xml:space="preserve"> от «___»_____</w:t>
      </w:r>
      <w:r w:rsidR="00C97920">
        <w:rPr>
          <w:rFonts w:ascii="Times New Roman" w:eastAsia="Times New Roman" w:hAnsi="Times New Roman" w:cs="Times New Roman"/>
          <w:lang w:eastAsia="ru-RU"/>
        </w:rPr>
        <w:t>202</w:t>
      </w:r>
      <w:r w:rsidR="00DE6E97">
        <w:rPr>
          <w:rFonts w:ascii="Times New Roman" w:eastAsia="Times New Roman" w:hAnsi="Times New Roman" w:cs="Times New Roman"/>
          <w:lang w:eastAsia="ru-RU"/>
        </w:rPr>
        <w:t>5</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71260D" w:rsidRPr="00BD4F4D" w:rsidRDefault="0071260D" w:rsidP="00180A6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ED0D22"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r w:rsidR="009878C0">
        <w:rPr>
          <w:rFonts w:ascii="Times New Roman" w:eastAsia="Times New Roman" w:hAnsi="Times New Roman" w:cs="Times New Roman"/>
          <w:lang w:eastAsia="ru-RU"/>
        </w:rPr>
        <w:t xml:space="preserve"> составляет</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w:t>
      </w:r>
      <w:r w:rsidR="00ED0D22" w:rsidRPr="00ED0D22">
        <w:rPr>
          <w:rFonts w:ascii="Times New Roman" w:eastAsia="Times New Roman" w:hAnsi="Times New Roman" w:cs="Times New Roman"/>
          <w:lang w:eastAsia="ru-RU"/>
        </w:rPr>
        <w:t>включая налог на добавленную стоимость (или НДС не предусмотрен)</w:t>
      </w:r>
      <w:r w:rsidR="00ED0D22">
        <w:rPr>
          <w:rFonts w:ascii="Times New Roman" w:eastAsia="Times New Roman" w:hAnsi="Times New Roman" w:cs="Times New Roman"/>
          <w:lang w:eastAsia="ru-RU"/>
        </w:rPr>
        <w:t>.</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4"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5"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DB129F"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6"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D4F4D">
        <w:rPr>
          <w:rFonts w:ascii="Times New Roman" w:eastAsia="Times New Roman" w:hAnsi="Times New Roman" w:cs="Times New Roman"/>
          <w:lang w:eastAsia="ru-RU"/>
        </w:rPr>
        <w:t>с даты получения</w:t>
      </w:r>
      <w:proofErr w:type="gramEnd"/>
      <w:r w:rsidRPr="00BD4F4D">
        <w:rPr>
          <w:rFonts w:ascii="Times New Roman" w:eastAsia="Times New Roman" w:hAnsi="Times New Roman" w:cs="Times New Roman"/>
          <w:lang w:eastAsia="ru-RU"/>
        </w:rPr>
        <w:t xml:space="preserve"> предложения о расторжении договора.</w:t>
      </w:r>
    </w:p>
    <w:p w:rsidR="0071260D" w:rsidRPr="00BD4F4D" w:rsidRDefault="0071260D" w:rsidP="00FC37A2">
      <w:pPr>
        <w:tabs>
          <w:tab w:val="left" w:pos="709"/>
        </w:tabs>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71260D">
        <w:rPr>
          <w:rFonts w:ascii="Times New Roman" w:eastAsia="Times New Roman" w:hAnsi="Times New Roman" w:cs="Times New Roman"/>
          <w:lang w:eastAsia="ru-RU"/>
        </w:rPr>
        <w:t>5</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4" w:name="Par123"/>
      <w:bookmarkEnd w:id="14"/>
      <w:r w:rsidRPr="00BD4F4D">
        <w:rPr>
          <w:rFonts w:ascii="Times New Roman" w:eastAsia="Times New Roman" w:hAnsi="Times New Roman" w:cs="Times New Roman"/>
          <w:b/>
          <w:lang w:eastAsia="ru-RU"/>
        </w:rPr>
        <w:lastRenderedPageBreak/>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5" w:name="Par129"/>
      <w:bookmarkEnd w:id="15"/>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1A59D3" w:rsidRDefault="001A59D3"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1A59D3" w:rsidRPr="00BD4F4D" w:rsidRDefault="001A59D3"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9642" w:type="dxa"/>
        <w:tblInd w:w="108" w:type="dxa"/>
        <w:tblLook w:val="04A0" w:firstRow="1" w:lastRow="0" w:firstColumn="1" w:lastColumn="0" w:noHBand="0" w:noVBand="1"/>
      </w:tblPr>
      <w:tblGrid>
        <w:gridCol w:w="4820"/>
        <w:gridCol w:w="4822"/>
      </w:tblGrid>
      <w:tr w:rsidR="00B87076" w:rsidRPr="00B87076" w:rsidTr="006E4F43">
        <w:tc>
          <w:tcPr>
            <w:tcW w:w="4820"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Заказчик</w:t>
            </w:r>
          </w:p>
        </w:tc>
        <w:tc>
          <w:tcPr>
            <w:tcW w:w="4822"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Поставщик</w:t>
            </w:r>
          </w:p>
        </w:tc>
      </w:tr>
      <w:tr w:rsidR="00B87076" w:rsidRPr="00B87076" w:rsidTr="006E4F43">
        <w:trPr>
          <w:trHeight w:val="3047"/>
        </w:trPr>
        <w:tc>
          <w:tcPr>
            <w:tcW w:w="4820"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 xml:space="preserve">Нижнетагильское муниципальное унитарное предприятие «Горэнерго-НТ» </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ИНН 6623090236</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КПП 662301001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ОГРН 1126623013461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Юридический адрес: РФ, Свердловская область, 622051 г. Нижний Тагил ул. Крупской, здание 5Б строение 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Почтовый адрес/Фактический адрес:</w:t>
            </w:r>
            <w:r w:rsidRPr="00B87076">
              <w:rPr>
                <w:rFonts w:asciiTheme="minorHAnsi" w:hAnsiTheme="minorHAnsi"/>
              </w:rPr>
              <w:t xml:space="preserve"> </w:t>
            </w:r>
            <w:r w:rsidRPr="00B87076">
              <w:rPr>
                <w:rFonts w:ascii="Times New Roman" w:eastAsia="MS Mincho" w:hAnsi="Times New Roman" w:cs="Times New Roman"/>
                <w:lang w:eastAsia="ru-RU"/>
              </w:rPr>
              <w:t>РФ, Свердловская область, 622051 г. Нижний Тагил ул. Крупской, здание 5Б строение 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Телефон/факс: 8 (3435) 230-560</w:t>
            </w:r>
          </w:p>
          <w:p w:rsidR="00B87076" w:rsidRPr="00B87076" w:rsidRDefault="00B87076" w:rsidP="00B87076">
            <w:pPr>
              <w:spacing w:after="0" w:line="240" w:lineRule="auto"/>
              <w:rPr>
                <w:rFonts w:ascii="Times New Roman" w:eastAsia="MS Mincho" w:hAnsi="Times New Roman" w:cs="Times New Roman"/>
                <w:color w:val="0000FF"/>
                <w:u w:val="single"/>
                <w:lang w:eastAsia="ru-RU"/>
              </w:rPr>
            </w:pPr>
            <w:r w:rsidRPr="00B87076">
              <w:rPr>
                <w:rFonts w:ascii="Times New Roman" w:eastAsia="MS Mincho" w:hAnsi="Times New Roman" w:cs="Times New Roman"/>
                <w:lang w:eastAsia="ru-RU"/>
              </w:rPr>
              <w:t>Эл</w:t>
            </w:r>
            <w:proofErr w:type="gramStart"/>
            <w:r w:rsidRPr="00B87076">
              <w:rPr>
                <w:rFonts w:ascii="Times New Roman" w:eastAsia="MS Mincho" w:hAnsi="Times New Roman" w:cs="Times New Roman"/>
                <w:lang w:eastAsia="ru-RU"/>
              </w:rPr>
              <w:t>.</w:t>
            </w:r>
            <w:proofErr w:type="gramEnd"/>
            <w:r w:rsidRPr="00B87076">
              <w:rPr>
                <w:rFonts w:ascii="Times New Roman" w:eastAsia="MS Mincho" w:hAnsi="Times New Roman" w:cs="Times New Roman"/>
                <w:lang w:eastAsia="ru-RU"/>
              </w:rPr>
              <w:t xml:space="preserve"> </w:t>
            </w:r>
            <w:proofErr w:type="gramStart"/>
            <w:r w:rsidRPr="00B87076">
              <w:rPr>
                <w:rFonts w:ascii="Times New Roman" w:eastAsia="MS Mincho" w:hAnsi="Times New Roman" w:cs="Times New Roman"/>
                <w:lang w:eastAsia="ru-RU"/>
              </w:rPr>
              <w:t>п</w:t>
            </w:r>
            <w:proofErr w:type="gramEnd"/>
            <w:r w:rsidRPr="00B87076">
              <w:rPr>
                <w:rFonts w:ascii="Times New Roman" w:eastAsia="MS Mincho" w:hAnsi="Times New Roman" w:cs="Times New Roman"/>
                <w:lang w:eastAsia="ru-RU"/>
              </w:rPr>
              <w:t xml:space="preserve">очта: </w:t>
            </w:r>
            <w:r w:rsidRPr="00B87076">
              <w:rPr>
                <w:rFonts w:ascii="Times New Roman" w:eastAsia="MS Mincho" w:hAnsi="Times New Roman" w:cs="Times New Roman"/>
                <w:color w:val="0000FF"/>
                <w:u w:val="single"/>
                <w:lang w:eastAsia="ru-RU"/>
              </w:rPr>
              <w:t>post@ge-nt.ru</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Расчетный счет: 40701810601280003948</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в филиале «Центральный» Банка ВТБ (ПАО)</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в г. Москве</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Корр. счет: 30101810145250000411</w:t>
            </w: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БИК: 044525411</w:t>
            </w:r>
          </w:p>
          <w:p w:rsidR="00B87076" w:rsidRPr="00B87076" w:rsidRDefault="00B87076" w:rsidP="00B87076">
            <w:pPr>
              <w:spacing w:after="0" w:line="240" w:lineRule="auto"/>
              <w:ind w:left="34"/>
              <w:rPr>
                <w:rFonts w:ascii="Times New Roman" w:eastAsia="MS Mincho" w:hAnsi="Times New Roman" w:cs="Times New Roman"/>
                <w:lang w:eastAsia="ru-RU"/>
              </w:rPr>
            </w:pPr>
          </w:p>
        </w:tc>
        <w:tc>
          <w:tcPr>
            <w:tcW w:w="4822" w:type="dxa"/>
          </w:tcPr>
          <w:p w:rsidR="00B87076" w:rsidRPr="00B87076" w:rsidRDefault="00B87076" w:rsidP="00B87076">
            <w:pPr>
              <w:spacing w:after="0" w:line="240" w:lineRule="auto"/>
              <w:rPr>
                <w:rFonts w:ascii="Times New Roman" w:eastAsia="MS Mincho" w:hAnsi="Times New Roman" w:cs="Times New Roman"/>
                <w:lang w:eastAsia="ru-RU"/>
              </w:rPr>
            </w:pPr>
          </w:p>
        </w:tc>
      </w:tr>
      <w:tr w:rsidR="00B87076" w:rsidRPr="00B87076" w:rsidTr="006E4F43">
        <w:tc>
          <w:tcPr>
            <w:tcW w:w="4820" w:type="dxa"/>
          </w:tcPr>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Директор</w:t>
            </w: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НТ МУП «Горэнерго-НТ»</w:t>
            </w:r>
          </w:p>
          <w:p w:rsidR="00B87076" w:rsidRPr="00B87076" w:rsidRDefault="00B87076" w:rsidP="00B87076">
            <w:pPr>
              <w:spacing w:after="0" w:line="240" w:lineRule="auto"/>
              <w:ind w:left="34"/>
              <w:rPr>
                <w:rFonts w:ascii="Times New Roman" w:eastAsia="MS Mincho" w:hAnsi="Times New Roman" w:cs="Times New Roman"/>
                <w:lang w:eastAsia="ru-RU"/>
              </w:rPr>
            </w:pP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_________________________ И.А. Анфилатов</w:t>
            </w:r>
          </w:p>
        </w:tc>
        <w:tc>
          <w:tcPr>
            <w:tcW w:w="4822" w:type="dxa"/>
          </w:tcPr>
          <w:p w:rsidR="00B87076" w:rsidRPr="00B87076" w:rsidRDefault="00B87076" w:rsidP="00B87076">
            <w:pPr>
              <w:spacing w:after="0" w:line="240" w:lineRule="auto"/>
              <w:ind w:left="34"/>
              <w:rPr>
                <w:rFonts w:ascii="Times New Roman" w:eastAsia="MS Mincho" w:hAnsi="Times New Roman" w:cs="Times New Roman"/>
                <w:lang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w:t>
      </w:r>
      <w:r w:rsidR="008B531E">
        <w:rPr>
          <w:rFonts w:ascii="Times New Roman" w:eastAsia="Times New Roman" w:hAnsi="Times New Roman" w:cs="Times New Roman"/>
          <w:lang w:eastAsia="ru-RU"/>
        </w:rPr>
        <w:t xml:space="preserve">вору № ___ от «____»______ </w:t>
      </w:r>
      <w:r w:rsidR="00F2548C">
        <w:rPr>
          <w:rFonts w:ascii="Times New Roman" w:eastAsia="Times New Roman" w:hAnsi="Times New Roman" w:cs="Times New Roman"/>
          <w:lang w:eastAsia="ru-RU"/>
        </w:rPr>
        <w:t xml:space="preserve"> </w:t>
      </w:r>
      <w:r w:rsidR="00C97920">
        <w:rPr>
          <w:rFonts w:ascii="Times New Roman" w:eastAsia="Times New Roman" w:hAnsi="Times New Roman" w:cs="Times New Roman"/>
          <w:lang w:eastAsia="ru-RU"/>
        </w:rPr>
        <w:t>202</w:t>
      </w:r>
      <w:r w:rsidR="00B31202">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FB01C1">
              <w:rPr>
                <w:rFonts w:ascii="Times New Roman" w:hAnsi="Times New Roman" w:cs="Times New Roman"/>
                <w:kern w:val="1"/>
              </w:rPr>
              <w:t xml:space="preserve"> 31.12.2025</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2548C">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B410E6" w:rsidRDefault="00B410E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F2548C">
              <w:rPr>
                <w:rFonts w:ascii="Times New Roman" w:eastAsia="Times New Roman" w:hAnsi="Times New Roman" w:cs="Times New Roman"/>
                <w:sz w:val="24"/>
                <w:szCs w:val="24"/>
                <w:lang w:eastAsia="ru-RU"/>
              </w:rPr>
              <w:t>5</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F6296C">
              <w:rPr>
                <w:rFonts w:ascii="Times New Roman" w:eastAsia="Times New Roman" w:hAnsi="Times New Roman" w:cs="Times New Roman"/>
                <w:sz w:val="24"/>
                <w:szCs w:val="24"/>
                <w:lang w:eastAsia="ru-RU"/>
              </w:rPr>
              <w:t xml:space="preserve">Свердловская область, </w:t>
            </w:r>
            <w:r w:rsidR="001C6B36" w:rsidRPr="001C6B36">
              <w:rPr>
                <w:rFonts w:ascii="Times New Roman" w:eastAsia="Times New Roman" w:hAnsi="Times New Roman" w:cs="Times New Roman"/>
                <w:sz w:val="24"/>
                <w:szCs w:val="24"/>
                <w:lang w:eastAsia="ru-RU"/>
              </w:rPr>
              <w:t>622051</w:t>
            </w:r>
            <w:r w:rsidR="00F6296C">
              <w:rPr>
                <w:rFonts w:ascii="Times New Roman" w:eastAsia="Times New Roman" w:hAnsi="Times New Roman" w:cs="Times New Roman"/>
                <w:sz w:val="24"/>
                <w:szCs w:val="24"/>
                <w:lang w:eastAsia="ru-RU"/>
              </w:rPr>
              <w:t xml:space="preserve"> г.</w:t>
            </w:r>
            <w:r w:rsidR="00F6296C" w:rsidRPr="001C6B36">
              <w:rPr>
                <w:rFonts w:ascii="Times New Roman" w:eastAsia="Times New Roman" w:hAnsi="Times New Roman" w:cs="Times New Roman"/>
                <w:sz w:val="24"/>
                <w:szCs w:val="24"/>
                <w:lang w:eastAsia="ru-RU"/>
              </w:rPr>
              <w:t xml:space="preserve"> Нижний</w:t>
            </w:r>
            <w:r w:rsidR="001C6B36" w:rsidRPr="001C6B36">
              <w:rPr>
                <w:rFonts w:ascii="Times New Roman" w:eastAsia="Times New Roman" w:hAnsi="Times New Roman" w:cs="Times New Roman"/>
                <w:sz w:val="24"/>
                <w:szCs w:val="24"/>
                <w:lang w:eastAsia="ru-RU"/>
              </w:rPr>
              <w:t xml:space="preserve">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7"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8"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6D" w:rsidRDefault="003A356D">
      <w:pPr>
        <w:spacing w:after="0" w:line="240" w:lineRule="auto"/>
      </w:pPr>
      <w:r>
        <w:separator/>
      </w:r>
    </w:p>
  </w:endnote>
  <w:endnote w:type="continuationSeparator" w:id="0">
    <w:p w:rsidR="003A356D" w:rsidRDefault="003A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6D" w:rsidRDefault="003A356D">
      <w:pPr>
        <w:spacing w:after="0" w:line="240" w:lineRule="auto"/>
      </w:pPr>
      <w:r>
        <w:separator/>
      </w:r>
    </w:p>
  </w:footnote>
  <w:footnote w:type="continuationSeparator" w:id="0">
    <w:p w:rsidR="003A356D" w:rsidRDefault="003A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6D" w:rsidRDefault="003A356D" w:rsidP="007C2D12">
    <w:pPr>
      <w:pStyle w:val="a7"/>
      <w:framePr w:w="387" w:wrap="around" w:vAnchor="text" w:hAnchor="margin" w:xAlign="center" w:y="1"/>
      <w:rPr>
        <w:rStyle w:val="ab"/>
      </w:rPr>
    </w:pPr>
  </w:p>
  <w:p w:rsidR="003A356D" w:rsidRDefault="003A35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30FC"/>
    <w:rsid w:val="000D5C63"/>
    <w:rsid w:val="000D6851"/>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51A1A"/>
    <w:rsid w:val="00160121"/>
    <w:rsid w:val="00162DB7"/>
    <w:rsid w:val="00166C4B"/>
    <w:rsid w:val="001733E0"/>
    <w:rsid w:val="00175A19"/>
    <w:rsid w:val="00175DF2"/>
    <w:rsid w:val="0017659D"/>
    <w:rsid w:val="00177189"/>
    <w:rsid w:val="00180A62"/>
    <w:rsid w:val="00192C4D"/>
    <w:rsid w:val="00194F70"/>
    <w:rsid w:val="00196B57"/>
    <w:rsid w:val="001A3D1D"/>
    <w:rsid w:val="001A59D3"/>
    <w:rsid w:val="001A6F3F"/>
    <w:rsid w:val="001B10CB"/>
    <w:rsid w:val="001B4B69"/>
    <w:rsid w:val="001B7650"/>
    <w:rsid w:val="001B7980"/>
    <w:rsid w:val="001C10CB"/>
    <w:rsid w:val="001C3FD5"/>
    <w:rsid w:val="001C6B36"/>
    <w:rsid w:val="001D3A41"/>
    <w:rsid w:val="001E09FB"/>
    <w:rsid w:val="001E3CB3"/>
    <w:rsid w:val="001E53BF"/>
    <w:rsid w:val="001F04C3"/>
    <w:rsid w:val="001F104B"/>
    <w:rsid w:val="001F1787"/>
    <w:rsid w:val="002003EA"/>
    <w:rsid w:val="00201FC6"/>
    <w:rsid w:val="00203BFF"/>
    <w:rsid w:val="00205309"/>
    <w:rsid w:val="0020655A"/>
    <w:rsid w:val="00207182"/>
    <w:rsid w:val="0021624F"/>
    <w:rsid w:val="002166CC"/>
    <w:rsid w:val="00216C54"/>
    <w:rsid w:val="00220AED"/>
    <w:rsid w:val="0022758E"/>
    <w:rsid w:val="00235668"/>
    <w:rsid w:val="00235B40"/>
    <w:rsid w:val="00240862"/>
    <w:rsid w:val="00243025"/>
    <w:rsid w:val="0024365B"/>
    <w:rsid w:val="002514BC"/>
    <w:rsid w:val="00253EDE"/>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4D7C"/>
    <w:rsid w:val="003752DE"/>
    <w:rsid w:val="003820E9"/>
    <w:rsid w:val="0039538A"/>
    <w:rsid w:val="003A12AD"/>
    <w:rsid w:val="003A34E7"/>
    <w:rsid w:val="003A356D"/>
    <w:rsid w:val="003B3B20"/>
    <w:rsid w:val="003B5937"/>
    <w:rsid w:val="003C1A0F"/>
    <w:rsid w:val="003C5FA2"/>
    <w:rsid w:val="003C6B19"/>
    <w:rsid w:val="003D7679"/>
    <w:rsid w:val="003F38E7"/>
    <w:rsid w:val="003F4A1C"/>
    <w:rsid w:val="003F5916"/>
    <w:rsid w:val="003F746B"/>
    <w:rsid w:val="00401954"/>
    <w:rsid w:val="00402E0B"/>
    <w:rsid w:val="00406CB0"/>
    <w:rsid w:val="004117F5"/>
    <w:rsid w:val="00416AB0"/>
    <w:rsid w:val="00426DD4"/>
    <w:rsid w:val="00430AEA"/>
    <w:rsid w:val="00437467"/>
    <w:rsid w:val="00437D36"/>
    <w:rsid w:val="00440617"/>
    <w:rsid w:val="0044098F"/>
    <w:rsid w:val="00440F52"/>
    <w:rsid w:val="0044264F"/>
    <w:rsid w:val="00442CEE"/>
    <w:rsid w:val="004447DA"/>
    <w:rsid w:val="00452787"/>
    <w:rsid w:val="00455124"/>
    <w:rsid w:val="004573E4"/>
    <w:rsid w:val="00463AFA"/>
    <w:rsid w:val="00464C9E"/>
    <w:rsid w:val="004716FA"/>
    <w:rsid w:val="00474818"/>
    <w:rsid w:val="00477885"/>
    <w:rsid w:val="00486BC1"/>
    <w:rsid w:val="00491DD6"/>
    <w:rsid w:val="004923E5"/>
    <w:rsid w:val="00492D22"/>
    <w:rsid w:val="0049410D"/>
    <w:rsid w:val="0049642E"/>
    <w:rsid w:val="004A1CD0"/>
    <w:rsid w:val="004B2871"/>
    <w:rsid w:val="004B3446"/>
    <w:rsid w:val="004B45C5"/>
    <w:rsid w:val="004B6995"/>
    <w:rsid w:val="004B6D11"/>
    <w:rsid w:val="004B6F40"/>
    <w:rsid w:val="004C1350"/>
    <w:rsid w:val="004C18D1"/>
    <w:rsid w:val="004C1F7E"/>
    <w:rsid w:val="004C6474"/>
    <w:rsid w:val="004C79FA"/>
    <w:rsid w:val="004D0342"/>
    <w:rsid w:val="004D108C"/>
    <w:rsid w:val="004D1A4D"/>
    <w:rsid w:val="004D775A"/>
    <w:rsid w:val="004D7B32"/>
    <w:rsid w:val="004E0568"/>
    <w:rsid w:val="004E1E60"/>
    <w:rsid w:val="004E34B1"/>
    <w:rsid w:val="004E45B8"/>
    <w:rsid w:val="004E4E47"/>
    <w:rsid w:val="004E5271"/>
    <w:rsid w:val="004E632B"/>
    <w:rsid w:val="004E6E19"/>
    <w:rsid w:val="004F0EE8"/>
    <w:rsid w:val="004F471C"/>
    <w:rsid w:val="004F7933"/>
    <w:rsid w:val="00502FA8"/>
    <w:rsid w:val="00503752"/>
    <w:rsid w:val="00504711"/>
    <w:rsid w:val="0050476C"/>
    <w:rsid w:val="00506FA3"/>
    <w:rsid w:val="00510592"/>
    <w:rsid w:val="00514BBB"/>
    <w:rsid w:val="00516714"/>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8198B"/>
    <w:rsid w:val="005838ED"/>
    <w:rsid w:val="00596590"/>
    <w:rsid w:val="00596F18"/>
    <w:rsid w:val="005A503D"/>
    <w:rsid w:val="005B1F6F"/>
    <w:rsid w:val="005B49B6"/>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3030"/>
    <w:rsid w:val="00617D00"/>
    <w:rsid w:val="006262F3"/>
    <w:rsid w:val="00630BD5"/>
    <w:rsid w:val="00634756"/>
    <w:rsid w:val="006357FF"/>
    <w:rsid w:val="00642952"/>
    <w:rsid w:val="00643099"/>
    <w:rsid w:val="006453A2"/>
    <w:rsid w:val="00645BBB"/>
    <w:rsid w:val="00645C2F"/>
    <w:rsid w:val="0065055F"/>
    <w:rsid w:val="00665EA0"/>
    <w:rsid w:val="00670C74"/>
    <w:rsid w:val="00672018"/>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51DC"/>
    <w:rsid w:val="006C669D"/>
    <w:rsid w:val="006D4C03"/>
    <w:rsid w:val="006D6BFA"/>
    <w:rsid w:val="006D6E48"/>
    <w:rsid w:val="006E1217"/>
    <w:rsid w:val="006E2569"/>
    <w:rsid w:val="006E4EBC"/>
    <w:rsid w:val="006E55E9"/>
    <w:rsid w:val="006F692E"/>
    <w:rsid w:val="007113A1"/>
    <w:rsid w:val="0071260D"/>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059DB"/>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95942"/>
    <w:rsid w:val="008A09F6"/>
    <w:rsid w:val="008A17E5"/>
    <w:rsid w:val="008A1E1F"/>
    <w:rsid w:val="008A4651"/>
    <w:rsid w:val="008A74A1"/>
    <w:rsid w:val="008A7525"/>
    <w:rsid w:val="008A7900"/>
    <w:rsid w:val="008B342A"/>
    <w:rsid w:val="008B531E"/>
    <w:rsid w:val="008C33CC"/>
    <w:rsid w:val="008C7DEB"/>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878C0"/>
    <w:rsid w:val="00994024"/>
    <w:rsid w:val="00995335"/>
    <w:rsid w:val="009A3036"/>
    <w:rsid w:val="009A479C"/>
    <w:rsid w:val="009C06D3"/>
    <w:rsid w:val="009C166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202"/>
    <w:rsid w:val="00B31783"/>
    <w:rsid w:val="00B31F67"/>
    <w:rsid w:val="00B320D3"/>
    <w:rsid w:val="00B340FF"/>
    <w:rsid w:val="00B3725C"/>
    <w:rsid w:val="00B410E6"/>
    <w:rsid w:val="00B431E3"/>
    <w:rsid w:val="00B46F71"/>
    <w:rsid w:val="00B50A7C"/>
    <w:rsid w:val="00B52E4B"/>
    <w:rsid w:val="00B561CD"/>
    <w:rsid w:val="00B57E58"/>
    <w:rsid w:val="00B64436"/>
    <w:rsid w:val="00B67FDF"/>
    <w:rsid w:val="00B70308"/>
    <w:rsid w:val="00B7392A"/>
    <w:rsid w:val="00B75306"/>
    <w:rsid w:val="00B75508"/>
    <w:rsid w:val="00B80416"/>
    <w:rsid w:val="00B80D78"/>
    <w:rsid w:val="00B82E57"/>
    <w:rsid w:val="00B85703"/>
    <w:rsid w:val="00B8574D"/>
    <w:rsid w:val="00B86F33"/>
    <w:rsid w:val="00B87076"/>
    <w:rsid w:val="00B878A0"/>
    <w:rsid w:val="00B9265B"/>
    <w:rsid w:val="00B95EF0"/>
    <w:rsid w:val="00BA2B17"/>
    <w:rsid w:val="00BB0BC2"/>
    <w:rsid w:val="00BB24F3"/>
    <w:rsid w:val="00BC0109"/>
    <w:rsid w:val="00BC5EF0"/>
    <w:rsid w:val="00BD4215"/>
    <w:rsid w:val="00BD4F4D"/>
    <w:rsid w:val="00BD5511"/>
    <w:rsid w:val="00BD6486"/>
    <w:rsid w:val="00BD774C"/>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5A"/>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0154"/>
    <w:rsid w:val="00CF1958"/>
    <w:rsid w:val="00CF537B"/>
    <w:rsid w:val="00CF61D9"/>
    <w:rsid w:val="00D01957"/>
    <w:rsid w:val="00D11F4C"/>
    <w:rsid w:val="00D154C0"/>
    <w:rsid w:val="00D15C58"/>
    <w:rsid w:val="00D1603C"/>
    <w:rsid w:val="00D20171"/>
    <w:rsid w:val="00D2616A"/>
    <w:rsid w:val="00D3158B"/>
    <w:rsid w:val="00D318A6"/>
    <w:rsid w:val="00D31C49"/>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129F"/>
    <w:rsid w:val="00DB5936"/>
    <w:rsid w:val="00DD3052"/>
    <w:rsid w:val="00DD4412"/>
    <w:rsid w:val="00DD71F2"/>
    <w:rsid w:val="00DD76BB"/>
    <w:rsid w:val="00DE05A4"/>
    <w:rsid w:val="00DE497A"/>
    <w:rsid w:val="00DE4B19"/>
    <w:rsid w:val="00DE6E97"/>
    <w:rsid w:val="00DF213D"/>
    <w:rsid w:val="00DF2BEE"/>
    <w:rsid w:val="00DF33CF"/>
    <w:rsid w:val="00DF6FA5"/>
    <w:rsid w:val="00E0002A"/>
    <w:rsid w:val="00E01519"/>
    <w:rsid w:val="00E03DDC"/>
    <w:rsid w:val="00E047A9"/>
    <w:rsid w:val="00E11C0D"/>
    <w:rsid w:val="00E12246"/>
    <w:rsid w:val="00E125D6"/>
    <w:rsid w:val="00E12EEF"/>
    <w:rsid w:val="00E15AC3"/>
    <w:rsid w:val="00E21561"/>
    <w:rsid w:val="00E21FA4"/>
    <w:rsid w:val="00E2787A"/>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3815"/>
    <w:rsid w:val="00EA4C56"/>
    <w:rsid w:val="00EA6F27"/>
    <w:rsid w:val="00EB1382"/>
    <w:rsid w:val="00EB3F34"/>
    <w:rsid w:val="00EB612B"/>
    <w:rsid w:val="00EB667D"/>
    <w:rsid w:val="00EC46CE"/>
    <w:rsid w:val="00EC7F97"/>
    <w:rsid w:val="00ED0D22"/>
    <w:rsid w:val="00ED36DE"/>
    <w:rsid w:val="00ED70F7"/>
    <w:rsid w:val="00EF49B9"/>
    <w:rsid w:val="00F04B77"/>
    <w:rsid w:val="00F12948"/>
    <w:rsid w:val="00F14B69"/>
    <w:rsid w:val="00F244C2"/>
    <w:rsid w:val="00F2457D"/>
    <w:rsid w:val="00F2548C"/>
    <w:rsid w:val="00F32134"/>
    <w:rsid w:val="00F33761"/>
    <w:rsid w:val="00F3451C"/>
    <w:rsid w:val="00F34B66"/>
    <w:rsid w:val="00F41BB5"/>
    <w:rsid w:val="00F447B3"/>
    <w:rsid w:val="00F45184"/>
    <w:rsid w:val="00F45FCF"/>
    <w:rsid w:val="00F569BE"/>
    <w:rsid w:val="00F6078F"/>
    <w:rsid w:val="00F61521"/>
    <w:rsid w:val="00F6296C"/>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3E83"/>
    <w:rsid w:val="00F9492C"/>
    <w:rsid w:val="00F95E78"/>
    <w:rsid w:val="00FA335E"/>
    <w:rsid w:val="00FA5D18"/>
    <w:rsid w:val="00FB01C1"/>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694766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884E4A8A9A0B98E954294195665813EFD2099B405B83D128E4936402B7B6h0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hyperlink" Target="consultantplus://offline/ref=884E4A8A9A0B98E954294195665813EFD20995405F80D128E4936402B7B6h0E" TargetMode="External"/><Relationship Id="rId2" Type="http://schemas.openxmlformats.org/officeDocument/2006/relationships/numbering" Target="numbering.xml"/><Relationship Id="rId16" Type="http://schemas.openxmlformats.org/officeDocument/2006/relationships/hyperlink" Target="consultantplus://offline/ref=B19BE27100874813D4DC38C86C1E62EE371B3F4B2F4C61B5DE0623517CDDA4D085320BD8F7E3C28FU5f1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71103F64DE1B939E9q9g9F"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hyperlink" Target="consultantplus://offline/ref=884E4A8A9A0B98E954294195665813EFD2099B405C81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F7BC5F5F3143C1421491951991A34BF0B6261803F64DE1B939E9q9g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903FD7C-A256-47AC-9543-EBFD9D47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23</Pages>
  <Words>12649</Words>
  <Characters>72104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279</cp:revision>
  <cp:lastPrinted>2025-04-10T03:16:00Z</cp:lastPrinted>
  <dcterms:created xsi:type="dcterms:W3CDTF">2019-08-22T08:48:00Z</dcterms:created>
  <dcterms:modified xsi:type="dcterms:W3CDTF">2025-06-26T10:58:00Z</dcterms:modified>
</cp:coreProperties>
</file>